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hint="eastAsia"/>
        </w:rPr>
      </w:pPr>
    </w:p>
    <w:p>
      <w:pPr>
        <w:rPr>
          <w:rFonts w:hint="eastAsia"/>
        </w:rPr>
      </w:pPr>
    </w:p>
    <w:p>
      <w:pPr>
        <w:spacing w:line="360" w:lineRule="auto"/>
        <w:jc w:val="center"/>
        <w:rPr>
          <w:b/>
          <w:sz w:val="44"/>
          <w:szCs w:val="44"/>
        </w:rPr>
      </w:pPr>
    </w:p>
    <w:p>
      <w:pPr>
        <w:spacing w:line="360" w:lineRule="auto"/>
        <w:ind w:firstLine="411" w:firstLineChars="49"/>
        <w:jc w:val="left"/>
        <w:rPr>
          <w:rFonts w:hint="eastAsia" w:ascii="方正小标宋简体" w:hAnsi="黑体" w:eastAsia="方正小标宋简体"/>
          <w:sz w:val="84"/>
          <w:szCs w:val="84"/>
        </w:rPr>
      </w:pPr>
      <w:r>
        <w:rPr>
          <w:rFonts w:hint="eastAsia" w:ascii="方正小标宋简体" w:hAnsi="黑体" w:eastAsia="方正小标宋简体"/>
          <w:sz w:val="84"/>
          <w:szCs w:val="84"/>
        </w:rPr>
        <w:t>2022年</w:t>
      </w:r>
    </w:p>
    <w:p>
      <w:pPr>
        <w:spacing w:line="360" w:lineRule="auto"/>
        <w:jc w:val="center"/>
        <w:rPr>
          <w:rFonts w:hint="eastAsia" w:ascii="方正小标宋简体" w:hAnsi="黑体" w:eastAsia="方正小标宋简体"/>
          <w:sz w:val="84"/>
          <w:szCs w:val="84"/>
        </w:rPr>
      </w:pPr>
      <w:r>
        <w:rPr>
          <w:rFonts w:hint="eastAsia" w:ascii="方正小标宋简体" w:hAnsi="黑体" w:eastAsia="方正小标宋简体"/>
          <w:sz w:val="84"/>
          <w:szCs w:val="84"/>
        </w:rPr>
        <w:t>浙江省海洋灾害公报</w:t>
      </w:r>
    </w:p>
    <w:p>
      <w:pPr>
        <w:spacing w:line="360" w:lineRule="auto"/>
        <w:jc w:val="center"/>
        <w:rPr>
          <w:rFonts w:hint="eastAsia" w:ascii="方正小标宋简体" w:hAnsi="黑体" w:eastAsia="方正小标宋简体"/>
          <w:sz w:val="72"/>
          <w:szCs w:val="72"/>
          <w:lang w:eastAsia="zh-CN"/>
        </w:rPr>
      </w:pPr>
    </w:p>
    <w:p>
      <w:pPr>
        <w:spacing w:line="360" w:lineRule="auto"/>
        <w:jc w:val="center"/>
        <w:rPr>
          <w:rFonts w:hint="eastAsia" w:ascii="方正小标宋简体" w:hAnsi="黑体" w:eastAsia="方正小标宋简体"/>
          <w:sz w:val="72"/>
          <w:szCs w:val="72"/>
          <w:lang w:eastAsia="zh-CN"/>
        </w:rPr>
      </w:pPr>
    </w:p>
    <w:p>
      <w:pPr>
        <w:spacing w:line="360" w:lineRule="auto"/>
        <w:rPr>
          <w:b/>
          <w:sz w:val="84"/>
          <w:szCs w:val="84"/>
        </w:rPr>
      </w:pPr>
    </w:p>
    <w:p>
      <w:pPr>
        <w:spacing w:line="360" w:lineRule="auto"/>
        <w:jc w:val="center"/>
        <w:rPr>
          <w:b/>
          <w:sz w:val="84"/>
          <w:szCs w:val="84"/>
        </w:rPr>
      </w:pPr>
    </w:p>
    <w:p>
      <w:pPr>
        <w:spacing w:line="360" w:lineRule="auto"/>
        <w:jc w:val="center"/>
        <w:rPr>
          <w:rFonts w:hint="eastAsia"/>
          <w:b/>
          <w:sz w:val="84"/>
          <w:szCs w:val="84"/>
        </w:rPr>
      </w:pPr>
    </w:p>
    <w:p>
      <w:pPr>
        <w:spacing w:line="360" w:lineRule="auto"/>
        <w:jc w:val="center"/>
        <w:rPr>
          <w:rFonts w:ascii="黑体" w:hAnsi="黑体" w:eastAsia="黑体"/>
          <w:sz w:val="44"/>
          <w:szCs w:val="44"/>
        </w:rPr>
      </w:pPr>
      <w:r>
        <w:rPr>
          <w:rFonts w:ascii="黑体" w:hAnsi="黑体" w:eastAsia="黑体"/>
          <w:sz w:val="44"/>
          <w:szCs w:val="44"/>
        </w:rPr>
        <w:t>浙江省</w:t>
      </w:r>
      <w:r>
        <w:rPr>
          <w:rFonts w:hint="eastAsia" w:ascii="黑体" w:hAnsi="黑体" w:eastAsia="黑体"/>
          <w:sz w:val="44"/>
          <w:szCs w:val="44"/>
        </w:rPr>
        <w:t>自然资源厅</w:t>
      </w:r>
    </w:p>
    <w:p>
      <w:pPr>
        <w:spacing w:line="360" w:lineRule="auto"/>
        <w:jc w:val="center"/>
        <w:rPr>
          <w:rFonts w:hint="eastAsia" w:ascii="黑体" w:hAnsi="黑体" w:eastAsia="黑体"/>
          <w:sz w:val="44"/>
          <w:szCs w:val="44"/>
        </w:rPr>
      </w:pPr>
      <w:r>
        <w:rPr>
          <w:rFonts w:ascii="黑体" w:hAnsi="黑体" w:eastAsia="黑体"/>
          <w:sz w:val="44"/>
          <w:szCs w:val="44"/>
        </w:rPr>
        <w:t>20</w:t>
      </w:r>
      <w:r>
        <w:rPr>
          <w:rFonts w:hint="eastAsia" w:ascii="黑体" w:hAnsi="黑体" w:eastAsia="黑体"/>
          <w:sz w:val="44"/>
          <w:szCs w:val="44"/>
        </w:rPr>
        <w:t>23</w:t>
      </w:r>
      <w:r>
        <w:rPr>
          <w:rFonts w:ascii="黑体" w:hAnsi="黑体" w:eastAsia="黑体"/>
          <w:sz w:val="44"/>
          <w:szCs w:val="44"/>
        </w:rPr>
        <w:t>年</w:t>
      </w:r>
      <w:r>
        <w:rPr>
          <w:rFonts w:hint="eastAsia" w:ascii="黑体" w:hAnsi="黑体" w:eastAsia="黑体"/>
          <w:sz w:val="44"/>
          <w:szCs w:val="44"/>
          <w:lang w:val="en-US" w:eastAsia="zh"/>
        </w:rPr>
        <w:t>5</w:t>
      </w:r>
      <w:r>
        <w:rPr>
          <w:rFonts w:ascii="黑体" w:hAnsi="黑体" w:eastAsia="黑体"/>
          <w:sz w:val="44"/>
          <w:szCs w:val="44"/>
        </w:rPr>
        <w:t>月</w:t>
      </w:r>
    </w:p>
    <w:p>
      <w:pPr>
        <w:spacing w:line="360" w:lineRule="auto"/>
        <w:jc w:val="center"/>
        <w:rPr>
          <w:b/>
          <w:sz w:val="44"/>
          <w:szCs w:val="44"/>
        </w:rPr>
        <w:sectPr>
          <w:headerReference r:id="rId4" w:type="default"/>
          <w:footerReference r:id="rId5" w:type="even"/>
          <w:pgSz w:w="11906" w:h="16838"/>
          <w:pgMar w:top="1418" w:right="1701" w:bottom="1418" w:left="1701" w:header="851" w:footer="992" w:gutter="0"/>
          <w:cols w:space="720" w:num="1"/>
          <w:docGrid w:type="linesAndChars" w:linePitch="312" w:charSpace="0"/>
        </w:sectPr>
      </w:pPr>
    </w:p>
    <w:p>
      <w:pPr>
        <w:spacing w:line="800" w:lineRule="exact"/>
        <w:rPr>
          <w:rFonts w:hint="eastAsia"/>
          <w:bCs/>
          <w:sz w:val="36"/>
          <w:szCs w:val="36"/>
        </w:rPr>
      </w:pPr>
    </w:p>
    <w:p>
      <w:pPr>
        <w:spacing w:before="156" w:beforeLines="50" w:line="360" w:lineRule="auto"/>
        <w:ind w:firstLine="600" w:firstLineChars="200"/>
        <w:rPr>
          <w:sz w:val="30"/>
          <w:szCs w:val="30"/>
        </w:rPr>
      </w:pPr>
      <w:r>
        <w:rPr>
          <w:sz w:val="30"/>
          <w:szCs w:val="30"/>
          <w:lang w:val="en-US" w:eastAsia="zh-CN"/>
        </w:rPr>
        <w:t>我省是海洋灾害影响最严重的省份之一，随着全球气候变暖和海洋经济快速发展，沿海地区海洋灾害风险日益突出，海洋防灾减灾形势十分严峻。2022年，在省委、省政府统一指挥领导下，浙江省自然资源厅认真履行海洋防灾减灾工作职能，沿海地市党委、政府切实发挥抗灾救灾主体作用，海洋防灾减灾成效总体较好。</w:t>
      </w:r>
      <w:r>
        <w:rPr>
          <w:rFonts w:hint="default"/>
          <w:sz w:val="30"/>
          <w:szCs w:val="30"/>
          <w:lang w:val="en-US" w:eastAsia="zh-CN"/>
        </w:rPr>
        <w:br w:type="textWrapping"/>
      </w:r>
      <w:r>
        <w:rPr>
          <w:rFonts w:hint="default"/>
          <w:sz w:val="30"/>
          <w:szCs w:val="30"/>
          <w:lang w:val="en-US" w:eastAsia="zh-CN"/>
        </w:rPr>
        <w:t>　　为使各级政府和社会公众更好了解我省海洋灾害影响情况，把握总体形势，增强风险意识，浙江省自然资源厅在对海洋灾害情况进行调查、统计和分析的基础上，编制《2022年浙江省海洋灾害公报》，现予以发布。</w:t>
      </w:r>
    </w:p>
    <w:p>
      <w:pPr>
        <w:rPr>
          <w:rFonts w:hint="eastAsia"/>
          <w:bCs/>
          <w:sz w:val="36"/>
          <w:szCs w:val="36"/>
        </w:rPr>
      </w:pPr>
    </w:p>
    <w:p>
      <w:pPr>
        <w:rPr>
          <w:bCs/>
          <w:sz w:val="36"/>
          <w:szCs w:val="36"/>
        </w:rPr>
      </w:pPr>
    </w:p>
    <w:p>
      <w:pPr>
        <w:wordWrap w:val="0"/>
        <w:spacing w:line="480" w:lineRule="auto"/>
        <w:ind w:firstLine="408"/>
        <w:jc w:val="right"/>
        <w:rPr>
          <w:sz w:val="30"/>
          <w:szCs w:val="30"/>
        </w:rPr>
      </w:pPr>
      <w:r>
        <w:rPr>
          <w:sz w:val="30"/>
          <w:szCs w:val="30"/>
        </w:rPr>
        <w:t xml:space="preserve">                     </w:t>
      </w:r>
      <w:r>
        <w:rPr>
          <w:bCs/>
          <w:sz w:val="30"/>
          <w:szCs w:val="30"/>
        </w:rPr>
        <w:t>浙江省</w:t>
      </w:r>
      <w:r>
        <w:rPr>
          <w:rFonts w:hint="eastAsia"/>
          <w:bCs/>
          <w:sz w:val="30"/>
          <w:szCs w:val="30"/>
        </w:rPr>
        <w:t xml:space="preserve">自然资源厅  </w:t>
      </w:r>
    </w:p>
    <w:p>
      <w:pPr>
        <w:wordWrap w:val="0"/>
        <w:spacing w:line="480" w:lineRule="auto"/>
        <w:ind w:firstLine="408"/>
        <w:jc w:val="right"/>
        <w:rPr>
          <w:sz w:val="30"/>
          <w:szCs w:val="30"/>
        </w:rPr>
      </w:pPr>
      <w:r>
        <w:rPr>
          <w:sz w:val="30"/>
          <w:szCs w:val="30"/>
        </w:rPr>
        <w:t xml:space="preserve">                              </w:t>
      </w:r>
      <w:r>
        <w:rPr>
          <w:bCs/>
          <w:sz w:val="30"/>
          <w:szCs w:val="30"/>
        </w:rPr>
        <w:t>20</w:t>
      </w:r>
      <w:r>
        <w:rPr>
          <w:rFonts w:hint="eastAsia"/>
          <w:bCs/>
          <w:sz w:val="30"/>
          <w:szCs w:val="30"/>
        </w:rPr>
        <w:t>23</w:t>
      </w:r>
      <w:r>
        <w:rPr>
          <w:bCs/>
          <w:sz w:val="30"/>
          <w:szCs w:val="30"/>
        </w:rPr>
        <w:t>年</w:t>
      </w:r>
      <w:r>
        <w:rPr>
          <w:rFonts w:hint="eastAsia"/>
          <w:bCs/>
          <w:sz w:val="30"/>
          <w:szCs w:val="30"/>
          <w:lang w:val="en-US" w:eastAsia="zh"/>
        </w:rPr>
        <w:t>5</w:t>
      </w:r>
      <w:r>
        <w:rPr>
          <w:bCs/>
          <w:sz w:val="30"/>
          <w:szCs w:val="30"/>
        </w:rPr>
        <w:t>月</w:t>
      </w:r>
      <w:r>
        <w:rPr>
          <w:rFonts w:hint="eastAsia"/>
          <w:bCs/>
          <w:sz w:val="30"/>
          <w:szCs w:val="30"/>
        </w:rPr>
        <w:t xml:space="preserve">    </w:t>
      </w:r>
    </w:p>
    <w:p>
      <w:pPr>
        <w:spacing w:line="560" w:lineRule="exact"/>
        <w:ind w:firstLine="585" w:firstLineChars="195"/>
        <w:jc w:val="right"/>
        <w:rPr>
          <w:bCs/>
          <w:sz w:val="30"/>
          <w:szCs w:val="30"/>
        </w:rPr>
        <w:sectPr>
          <w:headerReference r:id="rId6" w:type="default"/>
          <w:footerReference r:id="rId7" w:type="default"/>
          <w:pgSz w:w="11906" w:h="16838"/>
          <w:pgMar w:top="1418" w:right="1701" w:bottom="1418" w:left="1701" w:header="851" w:footer="992" w:gutter="0"/>
          <w:pgNumType w:start="1"/>
          <w:cols w:space="720" w:num="1"/>
          <w:docGrid w:type="linesAndChars" w:linePitch="312" w:charSpace="0"/>
        </w:sectPr>
      </w:pPr>
    </w:p>
    <w:p>
      <w:pPr>
        <w:spacing w:line="560" w:lineRule="exact"/>
        <w:ind w:firstLine="624" w:firstLineChars="195"/>
        <w:rPr>
          <w:bCs/>
          <w:sz w:val="32"/>
          <w:szCs w:val="32"/>
        </w:rPr>
      </w:pPr>
    </w:p>
    <w:p>
      <w:pPr>
        <w:rPr>
          <w:kern w:val="0"/>
          <w:lang w:val="zh-CN"/>
        </w:rPr>
      </w:pPr>
      <w:r>
        <w:rPr>
          <w:lang w:val="zh-CN"/>
        </w:rPr>
        <w:br w:type="page"/>
      </w:r>
    </w:p>
    <w:p>
      <w:pPr>
        <w:pStyle w:val="47"/>
        <w:spacing w:after="312" w:afterLines="100"/>
        <w:jc w:val="center"/>
        <w:rPr>
          <w:rFonts w:ascii="黑体" w:hAnsi="黑体" w:eastAsia="黑体"/>
          <w:color w:val="auto"/>
          <w:kern w:val="44"/>
          <w:sz w:val="44"/>
          <w:szCs w:val="44"/>
          <w:lang w:val="zh-CN"/>
        </w:rPr>
      </w:pPr>
      <w:bookmarkStart w:id="0" w:name="_Toc1022338017"/>
      <w:bookmarkStart w:id="1" w:name="_Toc1648858408"/>
      <w:bookmarkStart w:id="2" w:name="_Toc1339933355"/>
      <w:r>
        <w:rPr>
          <w:rFonts w:ascii="黑体" w:hAnsi="黑体" w:eastAsia="黑体"/>
          <w:color w:val="auto"/>
          <w:kern w:val="44"/>
          <w:sz w:val="44"/>
          <w:szCs w:val="44"/>
          <w:lang w:val="zh-CN"/>
        </w:rPr>
        <w:t>目 录</w:t>
      </w:r>
      <w:bookmarkEnd w:id="0"/>
      <w:bookmarkEnd w:id="1"/>
      <w:bookmarkEnd w:id="2"/>
    </w:p>
    <w:p>
      <w:pPr>
        <w:rPr>
          <w:lang w:val="zh-CN"/>
        </w:rPr>
      </w:pPr>
    </w:p>
    <w:p>
      <w:pPr>
        <w:pStyle w:val="14"/>
        <w:tabs>
          <w:tab w:val="right" w:leader="dot" w:pos="8504"/>
          <w:tab w:val="clear" w:pos="8296"/>
        </w:tabs>
        <w:rPr>
          <w:b w:val="0"/>
        </w:rPr>
      </w:pPr>
      <w:r>
        <w:rPr>
          <w:b w:val="0"/>
          <w:sz w:val="30"/>
          <w:szCs w:val="30"/>
        </w:rPr>
        <w:fldChar w:fldCharType="begin"/>
      </w:r>
      <w:r>
        <w:rPr>
          <w:b w:val="0"/>
          <w:sz w:val="30"/>
          <w:szCs w:val="30"/>
        </w:rPr>
        <w:instrText xml:space="preserve"> TOC \o "1-3" \h \z \u </w:instrText>
      </w:r>
      <w:r>
        <w:rPr>
          <w:b w:val="0"/>
          <w:sz w:val="30"/>
          <w:szCs w:val="30"/>
        </w:rPr>
        <w:fldChar w:fldCharType="separate"/>
      </w:r>
      <w:r>
        <w:rPr>
          <w:b w:val="0"/>
          <w:szCs w:val="30"/>
          <w:lang w:val="zh-CN"/>
        </w:rPr>
        <w:fldChar w:fldCharType="begin"/>
      </w:r>
      <w:r>
        <w:rPr>
          <w:b w:val="0"/>
          <w:szCs w:val="30"/>
          <w:lang w:val="zh-CN"/>
        </w:rPr>
        <w:instrText xml:space="preserve"> HYPERLINK \l _Toc642140880 </w:instrText>
      </w:r>
      <w:r>
        <w:rPr>
          <w:b w:val="0"/>
          <w:szCs w:val="30"/>
          <w:lang w:val="zh-CN"/>
        </w:rPr>
        <w:fldChar w:fldCharType="separate"/>
      </w:r>
      <w:r>
        <w:rPr>
          <w:rFonts w:ascii="黑体" w:hAnsi="黑体" w:eastAsia="黑体"/>
          <w:b w:val="0"/>
        </w:rPr>
        <w:t>一、概</w:t>
      </w:r>
      <w:r>
        <w:rPr>
          <w:rFonts w:hint="eastAsia" w:ascii="黑体" w:hAnsi="黑体" w:eastAsia="黑体"/>
          <w:b w:val="0"/>
        </w:rPr>
        <w:t>况</w:t>
      </w:r>
      <w:r>
        <w:rPr>
          <w:b w:val="0"/>
        </w:rPr>
        <w:tab/>
      </w:r>
      <w:r>
        <w:rPr>
          <w:b w:val="0"/>
        </w:rPr>
        <w:fldChar w:fldCharType="begin"/>
      </w:r>
      <w:r>
        <w:rPr>
          <w:b w:val="0"/>
        </w:rPr>
        <w:instrText xml:space="preserve"> PAGEREF _Toc642140880 </w:instrText>
      </w:r>
      <w:r>
        <w:rPr>
          <w:b w:val="0"/>
        </w:rPr>
        <w:fldChar w:fldCharType="separate"/>
      </w:r>
      <w:r>
        <w:rPr>
          <w:b w:val="0"/>
        </w:rPr>
        <w:t>1</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_Toc2146679285 </w:instrText>
      </w:r>
      <w:r>
        <w:rPr>
          <w:b w:val="0"/>
          <w:szCs w:val="30"/>
          <w:lang w:val="zh-CN"/>
        </w:rPr>
        <w:fldChar w:fldCharType="separate"/>
      </w:r>
      <w:r>
        <w:rPr>
          <w:rFonts w:ascii="黑体" w:hAnsi="黑体" w:eastAsia="黑体"/>
          <w:b w:val="0"/>
        </w:rPr>
        <w:t>二、风暴潮灾害</w:t>
      </w:r>
      <w:r>
        <w:rPr>
          <w:b w:val="0"/>
        </w:rPr>
        <w:tab/>
      </w:r>
      <w:r>
        <w:rPr>
          <w:b w:val="0"/>
        </w:rPr>
        <w:fldChar w:fldCharType="begin"/>
      </w:r>
      <w:r>
        <w:rPr>
          <w:b w:val="0"/>
        </w:rPr>
        <w:instrText xml:space="preserve"> PAGEREF _Toc2146679285 </w:instrText>
      </w:r>
      <w:r>
        <w:rPr>
          <w:b w:val="0"/>
        </w:rPr>
        <w:fldChar w:fldCharType="separate"/>
      </w:r>
      <w:r>
        <w:rPr>
          <w:b w:val="0"/>
        </w:rPr>
        <w:t>4</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_Toc1854641876 </w:instrText>
      </w:r>
      <w:r>
        <w:rPr>
          <w:b w:val="0"/>
          <w:szCs w:val="30"/>
          <w:lang w:val="zh-CN"/>
        </w:rPr>
        <w:fldChar w:fldCharType="separate"/>
      </w:r>
      <w:r>
        <w:rPr>
          <w:rFonts w:ascii="黑体" w:hAnsi="黑体" w:eastAsia="黑体"/>
          <w:b w:val="0"/>
        </w:rPr>
        <w:t>三、海浪灾害</w:t>
      </w:r>
      <w:r>
        <w:rPr>
          <w:b w:val="0"/>
        </w:rPr>
        <w:tab/>
      </w:r>
      <w:r>
        <w:rPr>
          <w:b w:val="0"/>
        </w:rPr>
        <w:fldChar w:fldCharType="begin"/>
      </w:r>
      <w:r>
        <w:rPr>
          <w:b w:val="0"/>
        </w:rPr>
        <w:instrText xml:space="preserve"> PAGEREF _Toc1854641876 </w:instrText>
      </w:r>
      <w:r>
        <w:rPr>
          <w:b w:val="0"/>
        </w:rPr>
        <w:fldChar w:fldCharType="separate"/>
      </w:r>
      <w:r>
        <w:rPr>
          <w:b w:val="0"/>
        </w:rPr>
        <w:t>7</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_Toc1031086563 </w:instrText>
      </w:r>
      <w:r>
        <w:rPr>
          <w:b w:val="0"/>
          <w:szCs w:val="30"/>
          <w:lang w:val="zh-CN"/>
        </w:rPr>
        <w:fldChar w:fldCharType="separate"/>
      </w:r>
      <w:r>
        <w:rPr>
          <w:rFonts w:hint="eastAsia" w:ascii="黑体" w:hAnsi="黑体" w:eastAsia="黑体"/>
          <w:b w:val="0"/>
        </w:rPr>
        <w:t>四</w:t>
      </w:r>
      <w:r>
        <w:rPr>
          <w:rFonts w:ascii="黑体" w:hAnsi="黑体" w:eastAsia="黑体"/>
          <w:b w:val="0"/>
        </w:rPr>
        <w:t>、赤潮灾害</w:t>
      </w:r>
      <w:r>
        <w:rPr>
          <w:b w:val="0"/>
        </w:rPr>
        <w:tab/>
      </w:r>
      <w:r>
        <w:rPr>
          <w:b w:val="0"/>
        </w:rPr>
        <w:fldChar w:fldCharType="begin"/>
      </w:r>
      <w:r>
        <w:rPr>
          <w:b w:val="0"/>
        </w:rPr>
        <w:instrText xml:space="preserve"> PAGEREF _Toc1031086563 </w:instrText>
      </w:r>
      <w:r>
        <w:rPr>
          <w:b w:val="0"/>
        </w:rPr>
        <w:fldChar w:fldCharType="separate"/>
      </w:r>
      <w:r>
        <w:rPr>
          <w:b w:val="0"/>
        </w:rPr>
        <w:t>10</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_Toc809775528 </w:instrText>
      </w:r>
      <w:r>
        <w:rPr>
          <w:b w:val="0"/>
          <w:szCs w:val="30"/>
          <w:lang w:val="zh-CN"/>
        </w:rPr>
        <w:fldChar w:fldCharType="separate"/>
      </w:r>
      <w:r>
        <w:rPr>
          <w:rFonts w:hint="eastAsia" w:ascii="黑体" w:hAnsi="黑体" w:eastAsia="黑体"/>
          <w:b w:val="0"/>
        </w:rPr>
        <w:t>五</w:t>
      </w:r>
      <w:r>
        <w:rPr>
          <w:rFonts w:ascii="黑体" w:hAnsi="黑体" w:eastAsia="黑体"/>
          <w:b w:val="0"/>
        </w:rPr>
        <w:t>、海平面变化</w:t>
      </w:r>
      <w:r>
        <w:rPr>
          <w:b w:val="0"/>
        </w:rPr>
        <w:tab/>
      </w:r>
      <w:r>
        <w:rPr>
          <w:b w:val="0"/>
        </w:rPr>
        <w:fldChar w:fldCharType="begin"/>
      </w:r>
      <w:r>
        <w:rPr>
          <w:b w:val="0"/>
        </w:rPr>
        <w:instrText xml:space="preserve"> PAGEREF _Toc809775528 </w:instrText>
      </w:r>
      <w:r>
        <w:rPr>
          <w:b w:val="0"/>
        </w:rPr>
        <w:fldChar w:fldCharType="separate"/>
      </w:r>
      <w:r>
        <w:rPr>
          <w:b w:val="0"/>
        </w:rPr>
        <w:t>12</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_Toc512455512 </w:instrText>
      </w:r>
      <w:r>
        <w:rPr>
          <w:b w:val="0"/>
          <w:szCs w:val="30"/>
          <w:lang w:val="zh-CN"/>
        </w:rPr>
        <w:fldChar w:fldCharType="separate"/>
      </w:r>
      <w:r>
        <w:rPr>
          <w:rFonts w:hint="eastAsia" w:ascii="黑体" w:hAnsi="黑体" w:eastAsia="黑体"/>
          <w:b w:val="0"/>
        </w:rPr>
        <w:t>六、咸潮入侵</w:t>
      </w:r>
      <w:r>
        <w:rPr>
          <w:b w:val="0"/>
        </w:rPr>
        <w:tab/>
      </w:r>
      <w:r>
        <w:rPr>
          <w:b w:val="0"/>
        </w:rPr>
        <w:fldChar w:fldCharType="begin"/>
      </w:r>
      <w:r>
        <w:rPr>
          <w:b w:val="0"/>
        </w:rPr>
        <w:instrText xml:space="preserve"> PAGEREF _Toc512455512 </w:instrText>
      </w:r>
      <w:r>
        <w:rPr>
          <w:b w:val="0"/>
        </w:rPr>
        <w:fldChar w:fldCharType="separate"/>
      </w:r>
      <w:r>
        <w:rPr>
          <w:b w:val="0"/>
        </w:rPr>
        <w:t>14</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_Toc1874091705 </w:instrText>
      </w:r>
      <w:r>
        <w:rPr>
          <w:b w:val="0"/>
          <w:szCs w:val="30"/>
          <w:lang w:val="zh-CN"/>
        </w:rPr>
        <w:fldChar w:fldCharType="separate"/>
      </w:r>
      <w:r>
        <w:rPr>
          <w:rFonts w:hint="eastAsia" w:ascii="黑体" w:hAnsi="黑体" w:eastAsia="黑体"/>
          <w:b w:val="0"/>
        </w:rPr>
        <w:t>七、海岸侵蚀</w:t>
      </w:r>
      <w:r>
        <w:rPr>
          <w:b w:val="0"/>
        </w:rPr>
        <w:tab/>
      </w:r>
      <w:r>
        <w:rPr>
          <w:b w:val="0"/>
        </w:rPr>
        <w:fldChar w:fldCharType="begin"/>
      </w:r>
      <w:r>
        <w:rPr>
          <w:b w:val="0"/>
        </w:rPr>
        <w:instrText xml:space="preserve"> PAGEREF _Toc1874091705 </w:instrText>
      </w:r>
      <w:r>
        <w:rPr>
          <w:b w:val="0"/>
        </w:rPr>
        <w:fldChar w:fldCharType="separate"/>
      </w:r>
      <w:r>
        <w:rPr>
          <w:b w:val="0"/>
        </w:rPr>
        <w:t>16</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_Toc189238269 </w:instrText>
      </w:r>
      <w:r>
        <w:rPr>
          <w:b w:val="0"/>
          <w:szCs w:val="30"/>
          <w:lang w:val="zh-CN"/>
        </w:rPr>
        <w:fldChar w:fldCharType="separate"/>
      </w:r>
      <w:r>
        <w:rPr>
          <w:rFonts w:hint="eastAsia" w:ascii="黑体" w:hAnsi="黑体" w:eastAsia="黑体"/>
          <w:b w:val="0"/>
        </w:rPr>
        <w:t>八</w:t>
      </w:r>
      <w:r>
        <w:rPr>
          <w:rFonts w:ascii="黑体" w:hAnsi="黑体" w:eastAsia="黑体"/>
          <w:b w:val="0"/>
        </w:rPr>
        <w:t>、海啸灾害</w:t>
      </w:r>
      <w:r>
        <w:rPr>
          <w:b w:val="0"/>
        </w:rPr>
        <w:tab/>
      </w:r>
      <w:r>
        <w:rPr>
          <w:b w:val="0"/>
        </w:rPr>
        <w:fldChar w:fldCharType="begin"/>
      </w:r>
      <w:r>
        <w:rPr>
          <w:b w:val="0"/>
        </w:rPr>
        <w:instrText xml:space="preserve"> PAGEREF _Toc189238269 </w:instrText>
      </w:r>
      <w:r>
        <w:rPr>
          <w:b w:val="0"/>
        </w:rPr>
        <w:fldChar w:fldCharType="separate"/>
      </w:r>
      <w:r>
        <w:rPr>
          <w:b w:val="0"/>
        </w:rPr>
        <w:t>18</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_Toc1349232355 </w:instrText>
      </w:r>
      <w:r>
        <w:rPr>
          <w:b w:val="0"/>
          <w:szCs w:val="30"/>
          <w:lang w:val="zh-CN"/>
        </w:rPr>
        <w:fldChar w:fldCharType="separate"/>
      </w:r>
      <w:r>
        <w:rPr>
          <w:rFonts w:hint="eastAsia" w:ascii="黑体" w:hAnsi="黑体" w:eastAsia="黑体"/>
          <w:b w:val="0"/>
        </w:rPr>
        <w:t>九</w:t>
      </w:r>
      <w:r>
        <w:rPr>
          <w:rFonts w:ascii="黑体" w:hAnsi="黑体" w:eastAsia="黑体"/>
          <w:b w:val="0"/>
        </w:rPr>
        <w:t>、海洋防灾减灾大事记</w:t>
      </w:r>
      <w:r>
        <w:rPr>
          <w:b w:val="0"/>
        </w:rPr>
        <w:tab/>
      </w:r>
      <w:r>
        <w:rPr>
          <w:b w:val="0"/>
        </w:rPr>
        <w:fldChar w:fldCharType="begin"/>
      </w:r>
      <w:r>
        <w:rPr>
          <w:b w:val="0"/>
        </w:rPr>
        <w:instrText xml:space="preserve"> PAGEREF _Toc1349232355 </w:instrText>
      </w:r>
      <w:r>
        <w:rPr>
          <w:b w:val="0"/>
        </w:rPr>
        <w:fldChar w:fldCharType="separate"/>
      </w:r>
      <w:r>
        <w:rPr>
          <w:b w:val="0"/>
        </w:rPr>
        <w:t>20</w:t>
      </w:r>
      <w:r>
        <w:rPr>
          <w:b w:val="0"/>
        </w:rPr>
        <w:fldChar w:fldCharType="end"/>
      </w:r>
      <w:r>
        <w:rPr>
          <w:b w:val="0"/>
          <w:szCs w:val="30"/>
          <w:lang w:val="zh-CN"/>
        </w:rPr>
        <w:fldChar w:fldCharType="end"/>
      </w:r>
    </w:p>
    <w:p>
      <w:pPr>
        <w:pStyle w:val="14"/>
        <w:tabs>
          <w:tab w:val="right" w:leader="dot" w:pos="8504"/>
          <w:tab w:val="clear" w:pos="8296"/>
        </w:tabs>
        <w:rPr>
          <w:b w:val="0"/>
        </w:rPr>
      </w:pPr>
      <w:r>
        <w:rPr>
          <w:b w:val="0"/>
          <w:szCs w:val="30"/>
          <w:lang w:val="zh-CN"/>
        </w:rPr>
        <w:fldChar w:fldCharType="begin"/>
      </w:r>
      <w:r>
        <w:rPr>
          <w:b w:val="0"/>
          <w:szCs w:val="30"/>
          <w:lang w:val="zh-CN"/>
        </w:rPr>
        <w:instrText xml:space="preserve"> HYPERLINK \l _Toc1548965478 </w:instrText>
      </w:r>
      <w:r>
        <w:rPr>
          <w:b w:val="0"/>
          <w:szCs w:val="30"/>
          <w:lang w:val="zh-CN"/>
        </w:rPr>
        <w:fldChar w:fldCharType="separate"/>
      </w:r>
      <w:r>
        <w:rPr>
          <w:rFonts w:ascii="黑体" w:hAnsi="黑体" w:eastAsia="黑体"/>
          <w:b w:val="0"/>
        </w:rPr>
        <w:t>附录</w:t>
      </w:r>
      <w:r>
        <w:rPr>
          <w:rFonts w:hint="eastAsia" w:ascii="黑体" w:hAnsi="黑体" w:eastAsia="黑体"/>
          <w:b w:val="0"/>
        </w:rPr>
        <w:t xml:space="preserve">  </w:t>
      </w:r>
      <w:r>
        <w:rPr>
          <w:rFonts w:ascii="黑体" w:hAnsi="黑体" w:eastAsia="黑体"/>
          <w:b w:val="0"/>
        </w:rPr>
        <w:t>名词解释</w:t>
      </w:r>
      <w:r>
        <w:rPr>
          <w:b w:val="0"/>
        </w:rPr>
        <w:tab/>
      </w:r>
      <w:r>
        <w:rPr>
          <w:b w:val="0"/>
        </w:rPr>
        <w:fldChar w:fldCharType="begin"/>
      </w:r>
      <w:r>
        <w:rPr>
          <w:b w:val="0"/>
        </w:rPr>
        <w:instrText xml:space="preserve"> PAGEREF _Toc1548965478 </w:instrText>
      </w:r>
      <w:r>
        <w:rPr>
          <w:b w:val="0"/>
        </w:rPr>
        <w:fldChar w:fldCharType="separate"/>
      </w:r>
      <w:r>
        <w:rPr>
          <w:b w:val="0"/>
        </w:rPr>
        <w:t>23</w:t>
      </w:r>
      <w:r>
        <w:rPr>
          <w:b w:val="0"/>
        </w:rPr>
        <w:fldChar w:fldCharType="end"/>
      </w:r>
      <w:r>
        <w:rPr>
          <w:b w:val="0"/>
          <w:szCs w:val="30"/>
          <w:lang w:val="zh-CN"/>
        </w:rPr>
        <w:fldChar w:fldCharType="end"/>
      </w:r>
    </w:p>
    <w:p>
      <w:pPr>
        <w:spacing w:line="480" w:lineRule="auto"/>
      </w:pPr>
      <w:r>
        <w:rPr>
          <w:szCs w:val="30"/>
          <w:lang w:val="zh-CN"/>
        </w:rPr>
        <w:fldChar w:fldCharType="end"/>
      </w:r>
    </w:p>
    <w:p>
      <w:pPr>
        <w:spacing w:line="560" w:lineRule="exact"/>
        <w:ind w:firstLine="624" w:firstLineChars="195"/>
        <w:rPr>
          <w:bCs/>
          <w:sz w:val="32"/>
          <w:szCs w:val="32"/>
        </w:rPr>
      </w:pPr>
    </w:p>
    <w:p>
      <w:pPr>
        <w:spacing w:line="560" w:lineRule="exact"/>
        <w:ind w:firstLine="624" w:firstLineChars="195"/>
        <w:rPr>
          <w:bCs/>
          <w:sz w:val="32"/>
          <w:szCs w:val="32"/>
        </w:rPr>
      </w:pPr>
    </w:p>
    <w:p>
      <w:pPr>
        <w:spacing w:line="560" w:lineRule="exact"/>
        <w:ind w:firstLine="624" w:firstLineChars="195"/>
        <w:rPr>
          <w:bCs/>
          <w:sz w:val="32"/>
          <w:szCs w:val="32"/>
        </w:rPr>
      </w:pPr>
    </w:p>
    <w:p>
      <w:pPr>
        <w:spacing w:line="560" w:lineRule="exact"/>
        <w:ind w:firstLine="624" w:firstLineChars="195"/>
        <w:rPr>
          <w:bCs/>
          <w:sz w:val="32"/>
          <w:szCs w:val="32"/>
        </w:rPr>
      </w:pPr>
    </w:p>
    <w:p>
      <w:pPr>
        <w:spacing w:line="560" w:lineRule="exact"/>
        <w:ind w:firstLine="624" w:firstLineChars="195"/>
        <w:rPr>
          <w:bCs/>
          <w:sz w:val="32"/>
          <w:szCs w:val="32"/>
        </w:rPr>
      </w:pPr>
    </w:p>
    <w:p>
      <w:pPr>
        <w:spacing w:line="560" w:lineRule="exact"/>
        <w:ind w:firstLine="624" w:firstLineChars="195"/>
        <w:rPr>
          <w:bCs/>
          <w:sz w:val="32"/>
          <w:szCs w:val="32"/>
        </w:rPr>
        <w:sectPr>
          <w:footerReference r:id="rId8" w:type="even"/>
          <w:type w:val="continuous"/>
          <w:pgSz w:w="11906" w:h="16838"/>
          <w:pgMar w:top="1418" w:right="1701" w:bottom="1418" w:left="1701" w:header="851" w:footer="992" w:gutter="0"/>
          <w:pgNumType w:start="1"/>
          <w:cols w:space="720" w:num="1"/>
          <w:docGrid w:type="linesAndChars" w:linePitch="312" w:charSpace="0"/>
        </w:sectPr>
      </w:pPr>
    </w:p>
    <w:p>
      <w:pPr>
        <w:pStyle w:val="2"/>
        <w:spacing w:before="0" w:after="0" w:line="240" w:lineRule="auto"/>
        <w:rPr>
          <w:rFonts w:ascii="黑体" w:hAnsi="黑体" w:eastAsia="黑体"/>
        </w:rPr>
      </w:pPr>
      <w:bookmarkStart w:id="3" w:name="_Toc642140880"/>
      <w:bookmarkStart w:id="4" w:name="_Toc314748383"/>
      <w:bookmarkStart w:id="5" w:name="_Toc344382692"/>
      <w:bookmarkStart w:id="6" w:name="_Toc380761874"/>
      <w:bookmarkStart w:id="7" w:name="_Toc283629699"/>
      <w:bookmarkStart w:id="8" w:name="_Toc285184663"/>
      <w:r>
        <w:rPr>
          <w:rFonts w:ascii="黑体" w:hAnsi="黑体" w:eastAsia="黑体"/>
        </w:rPr>
        <w:t>一、概</w:t>
      </w:r>
      <w:r>
        <w:rPr>
          <w:rFonts w:hint="eastAsia" w:ascii="黑体" w:hAnsi="黑体" w:eastAsia="黑体"/>
        </w:rPr>
        <w:t>况</w:t>
      </w:r>
      <w:bookmarkEnd w:id="3"/>
      <w:bookmarkEnd w:id="4"/>
      <w:bookmarkEnd w:id="5"/>
    </w:p>
    <w:p>
      <w:pPr>
        <w:spacing w:before="156" w:beforeLines="50" w:line="360" w:lineRule="auto"/>
        <w:ind w:firstLine="600" w:firstLineChars="200"/>
        <w:rPr>
          <w:rFonts w:hAnsi="宋体"/>
          <w:sz w:val="30"/>
          <w:szCs w:val="30"/>
        </w:rPr>
      </w:pPr>
      <w:r>
        <w:rPr>
          <w:sz w:val="30"/>
          <w:szCs w:val="30"/>
        </w:rPr>
        <w:t>20</w:t>
      </w:r>
      <w:r>
        <w:rPr>
          <w:rFonts w:hint="eastAsia"/>
          <w:sz w:val="30"/>
          <w:szCs w:val="30"/>
        </w:rPr>
        <w:t>22</w:t>
      </w:r>
      <w:r>
        <w:rPr>
          <w:rFonts w:hAnsi="宋体"/>
          <w:sz w:val="30"/>
          <w:szCs w:val="30"/>
        </w:rPr>
        <w:t>年</w:t>
      </w:r>
      <w:r>
        <w:rPr>
          <w:rFonts w:hint="eastAsia" w:hAnsi="宋体"/>
          <w:sz w:val="30"/>
          <w:szCs w:val="30"/>
        </w:rPr>
        <w:t>，我</w:t>
      </w:r>
      <w:r>
        <w:rPr>
          <w:rFonts w:hAnsi="宋体"/>
          <w:sz w:val="30"/>
          <w:szCs w:val="30"/>
        </w:rPr>
        <w:t>省海洋灾害</w:t>
      </w:r>
      <w:r>
        <w:rPr>
          <w:rFonts w:hint="eastAsia" w:hAnsi="宋体"/>
          <w:sz w:val="30"/>
          <w:szCs w:val="30"/>
        </w:rPr>
        <w:t>以风暴潮和海浪灾害为主，共</w:t>
      </w:r>
      <w:r>
        <w:rPr>
          <w:rFonts w:hAnsi="宋体"/>
          <w:sz w:val="30"/>
          <w:szCs w:val="30"/>
        </w:rPr>
        <w:t>造成直接经济损失</w:t>
      </w:r>
      <w:r>
        <w:rPr>
          <w:rFonts w:hint="eastAsia" w:hAnsi="宋体"/>
          <w:sz w:val="30"/>
          <w:szCs w:val="30"/>
        </w:rPr>
        <w:t>28 063.79万</w:t>
      </w:r>
      <w:r>
        <w:rPr>
          <w:rFonts w:hint="eastAsia"/>
          <w:sz w:val="30"/>
          <w:szCs w:val="30"/>
        </w:rPr>
        <w:t>元</w:t>
      </w:r>
      <w:r>
        <w:rPr>
          <w:rFonts w:hAnsi="宋体"/>
          <w:sz w:val="30"/>
          <w:szCs w:val="30"/>
        </w:rPr>
        <w:t>，</w:t>
      </w:r>
      <w:r>
        <w:rPr>
          <w:rFonts w:hint="eastAsia" w:hAnsi="宋体"/>
          <w:sz w:val="30"/>
          <w:szCs w:val="30"/>
          <w:lang w:eastAsia="zh-CN"/>
        </w:rPr>
        <w:t>仅次于山东和广东，</w:t>
      </w:r>
      <w:r>
        <w:rPr>
          <w:rFonts w:hint="eastAsia" w:hAnsi="宋体"/>
          <w:sz w:val="30"/>
          <w:szCs w:val="30"/>
        </w:rPr>
        <w:t>无人员</w:t>
      </w:r>
      <w:r>
        <w:rPr>
          <w:rFonts w:hAnsi="宋体"/>
          <w:sz w:val="30"/>
          <w:szCs w:val="30"/>
        </w:rPr>
        <w:t>死亡</w:t>
      </w:r>
      <w:r>
        <w:rPr>
          <w:rFonts w:hint="eastAsia" w:hAnsi="宋体"/>
          <w:sz w:val="30"/>
          <w:szCs w:val="30"/>
        </w:rPr>
        <w:t>失踪</w:t>
      </w:r>
      <w:r>
        <w:rPr>
          <w:rFonts w:hAnsi="宋体"/>
          <w:sz w:val="30"/>
          <w:szCs w:val="30"/>
        </w:rPr>
        <w:t>。全年海洋灾害</w:t>
      </w:r>
      <w:r>
        <w:rPr>
          <w:rFonts w:hint="eastAsia" w:hAnsi="宋体"/>
          <w:sz w:val="30"/>
          <w:szCs w:val="30"/>
        </w:rPr>
        <w:t>具体情况</w:t>
      </w:r>
      <w:r>
        <w:rPr>
          <w:rFonts w:hAnsi="宋体"/>
          <w:sz w:val="30"/>
          <w:szCs w:val="30"/>
        </w:rPr>
        <w:t>如下：</w:t>
      </w:r>
    </w:p>
    <w:p>
      <w:pPr>
        <w:numPr>
          <w:ilvl w:val="0"/>
          <w:numId w:val="1"/>
        </w:numPr>
        <w:spacing w:before="156" w:beforeLines="50" w:line="360" w:lineRule="auto"/>
        <w:ind w:firstLine="600"/>
        <w:rPr>
          <w:rFonts w:hint="eastAsia"/>
          <w:sz w:val="30"/>
          <w:szCs w:val="30"/>
        </w:rPr>
      </w:pPr>
      <w:r>
        <w:rPr>
          <w:rFonts w:hint="eastAsia"/>
          <w:sz w:val="30"/>
          <w:szCs w:val="30"/>
        </w:rPr>
        <w:t>风暴潮：</w:t>
      </w:r>
      <w:r>
        <w:rPr>
          <w:sz w:val="30"/>
          <w:szCs w:val="30"/>
        </w:rPr>
        <w:t>发生</w:t>
      </w:r>
      <w:r>
        <w:rPr>
          <w:rFonts w:hint="eastAsia"/>
          <w:sz w:val="30"/>
          <w:szCs w:val="30"/>
        </w:rPr>
        <w:t>台风</w:t>
      </w:r>
      <w:r>
        <w:rPr>
          <w:sz w:val="30"/>
          <w:szCs w:val="30"/>
        </w:rPr>
        <w:t>风暴潮灾害</w:t>
      </w:r>
      <w:r>
        <w:rPr>
          <w:rFonts w:hint="eastAsia"/>
          <w:sz w:val="30"/>
          <w:szCs w:val="30"/>
        </w:rPr>
        <w:t>1</w:t>
      </w:r>
      <w:r>
        <w:rPr>
          <w:sz w:val="30"/>
          <w:szCs w:val="30"/>
        </w:rPr>
        <w:t>次，造成直接经济损失</w:t>
      </w:r>
      <w:r>
        <w:rPr>
          <w:rFonts w:hint="eastAsia"/>
          <w:sz w:val="30"/>
          <w:szCs w:val="30"/>
        </w:rPr>
        <w:t xml:space="preserve">   </w:t>
      </w:r>
      <w:r>
        <w:rPr>
          <w:rFonts w:hint="eastAsia" w:hAnsi="宋体"/>
          <w:sz w:val="30"/>
          <w:szCs w:val="30"/>
        </w:rPr>
        <w:t>26 917.79万</w:t>
      </w:r>
      <w:r>
        <w:rPr>
          <w:rFonts w:hint="eastAsia"/>
          <w:sz w:val="30"/>
          <w:szCs w:val="30"/>
        </w:rPr>
        <w:t>元</w:t>
      </w:r>
      <w:r>
        <w:rPr>
          <w:sz w:val="30"/>
          <w:szCs w:val="30"/>
        </w:rPr>
        <w:t>，无人员死亡失踪</w:t>
      </w:r>
      <w:r>
        <w:rPr>
          <w:rFonts w:hint="eastAsia"/>
          <w:sz w:val="30"/>
          <w:szCs w:val="30"/>
        </w:rPr>
        <w:t>。</w:t>
      </w:r>
    </w:p>
    <w:p>
      <w:pPr>
        <w:numPr>
          <w:ilvl w:val="0"/>
          <w:numId w:val="1"/>
        </w:numPr>
        <w:spacing w:before="156" w:beforeLines="50" w:line="360" w:lineRule="auto"/>
        <w:ind w:firstLine="600"/>
        <w:rPr>
          <w:rFonts w:hint="eastAsia"/>
          <w:sz w:val="30"/>
          <w:szCs w:val="30"/>
        </w:rPr>
      </w:pPr>
      <w:r>
        <w:rPr>
          <w:rFonts w:hint="eastAsia"/>
          <w:sz w:val="30"/>
          <w:szCs w:val="30"/>
        </w:rPr>
        <w:t>海浪：发生海浪灾害1次，造成直接经济损失1 146.00万元，</w:t>
      </w:r>
      <w:r>
        <w:rPr>
          <w:sz w:val="30"/>
          <w:szCs w:val="30"/>
        </w:rPr>
        <w:t>无人员死亡失踪</w:t>
      </w:r>
      <w:r>
        <w:rPr>
          <w:rFonts w:hint="eastAsia"/>
          <w:sz w:val="30"/>
          <w:szCs w:val="30"/>
        </w:rPr>
        <w:t>。</w:t>
      </w:r>
    </w:p>
    <w:p>
      <w:pPr>
        <w:numPr>
          <w:ilvl w:val="0"/>
          <w:numId w:val="1"/>
        </w:numPr>
        <w:spacing w:before="156" w:beforeLines="50" w:line="360" w:lineRule="auto"/>
        <w:ind w:firstLine="600"/>
        <w:rPr>
          <w:rFonts w:hint="eastAsia"/>
          <w:sz w:val="30"/>
          <w:szCs w:val="30"/>
        </w:rPr>
      </w:pPr>
      <w:r>
        <w:rPr>
          <w:rFonts w:hint="eastAsia"/>
          <w:sz w:val="30"/>
          <w:szCs w:val="30"/>
        </w:rPr>
        <w:t>赤潮：</w:t>
      </w:r>
      <w:r>
        <w:rPr>
          <w:sz w:val="30"/>
          <w:szCs w:val="30"/>
        </w:rPr>
        <w:t>发现赤潮</w:t>
      </w:r>
      <w:r>
        <w:rPr>
          <w:rFonts w:hint="eastAsia"/>
          <w:sz w:val="30"/>
          <w:szCs w:val="30"/>
        </w:rPr>
        <w:t>17</w:t>
      </w:r>
      <w:r>
        <w:rPr>
          <w:sz w:val="30"/>
          <w:szCs w:val="30"/>
        </w:rPr>
        <w:t>次，累计面积</w:t>
      </w:r>
      <w:r>
        <w:rPr>
          <w:rFonts w:hint="eastAsia"/>
          <w:sz w:val="30"/>
          <w:szCs w:val="30"/>
        </w:rPr>
        <w:t>1 552</w:t>
      </w:r>
      <w:r>
        <w:rPr>
          <w:sz w:val="30"/>
          <w:szCs w:val="30"/>
        </w:rPr>
        <w:t>平方千米，</w:t>
      </w:r>
      <w:r>
        <w:rPr>
          <w:rFonts w:hAnsi="宋体"/>
          <w:sz w:val="30"/>
          <w:szCs w:val="30"/>
        </w:rPr>
        <w:t>其中有害赤潮</w:t>
      </w:r>
      <w:r>
        <w:rPr>
          <w:rFonts w:hint="eastAsia"/>
          <w:sz w:val="30"/>
          <w:szCs w:val="30"/>
        </w:rPr>
        <w:t>1</w:t>
      </w:r>
      <w:r>
        <w:rPr>
          <w:rFonts w:hAnsi="宋体"/>
          <w:sz w:val="30"/>
          <w:szCs w:val="30"/>
        </w:rPr>
        <w:t>次，面积</w:t>
      </w:r>
      <w:r>
        <w:rPr>
          <w:rFonts w:hint="eastAsia"/>
          <w:sz w:val="30"/>
          <w:szCs w:val="30"/>
        </w:rPr>
        <w:t>20</w:t>
      </w:r>
      <w:r>
        <w:rPr>
          <w:rFonts w:hAnsi="宋体"/>
          <w:sz w:val="30"/>
          <w:szCs w:val="30"/>
        </w:rPr>
        <w:t>平方</w:t>
      </w:r>
      <w:r>
        <w:rPr>
          <w:rFonts w:hint="eastAsia" w:hAnsi="宋体"/>
          <w:sz w:val="30"/>
          <w:szCs w:val="30"/>
        </w:rPr>
        <w:t>千米</w:t>
      </w:r>
      <w:r>
        <w:rPr>
          <w:sz w:val="30"/>
          <w:szCs w:val="30"/>
        </w:rPr>
        <w:t>，未造成直接经济损失</w:t>
      </w:r>
      <w:r>
        <w:rPr>
          <w:rFonts w:hint="eastAsia"/>
          <w:sz w:val="30"/>
          <w:szCs w:val="30"/>
        </w:rPr>
        <w:t>和人员死亡。</w:t>
      </w:r>
    </w:p>
    <w:p>
      <w:pPr>
        <w:numPr>
          <w:ilvl w:val="0"/>
          <w:numId w:val="1"/>
        </w:numPr>
        <w:spacing w:before="156" w:beforeLines="50" w:line="360" w:lineRule="auto"/>
        <w:ind w:firstLine="600"/>
        <w:rPr>
          <w:rFonts w:hint="eastAsia"/>
          <w:sz w:val="30"/>
          <w:szCs w:val="30"/>
        </w:rPr>
      </w:pPr>
      <w:r>
        <w:rPr>
          <w:rFonts w:hint="eastAsia"/>
          <w:sz w:val="30"/>
          <w:szCs w:val="30"/>
        </w:rPr>
        <w:t>海平面变化：沿海海平面较常年平均值高85毫米，处于1980年以来第七高位。</w:t>
      </w:r>
    </w:p>
    <w:p>
      <w:pPr>
        <w:numPr>
          <w:ilvl w:val="0"/>
          <w:numId w:val="1"/>
        </w:numPr>
        <w:spacing w:before="156" w:beforeLines="50" w:line="360" w:lineRule="auto"/>
        <w:ind w:firstLine="600"/>
        <w:rPr>
          <w:rFonts w:hint="eastAsia"/>
          <w:sz w:val="30"/>
          <w:szCs w:val="30"/>
        </w:rPr>
      </w:pPr>
      <w:r>
        <w:rPr>
          <w:rFonts w:hint="eastAsia"/>
          <w:sz w:val="30"/>
          <w:szCs w:val="30"/>
        </w:rPr>
        <w:t>咸潮入侵：代表性入海河流</w:t>
      </w:r>
      <w:r>
        <w:rPr>
          <w:sz w:val="30"/>
          <w:szCs w:val="30"/>
        </w:rPr>
        <w:t>钱塘江发生咸潮入侵</w:t>
      </w:r>
      <w:r>
        <w:rPr>
          <w:rFonts w:hint="eastAsia"/>
          <w:sz w:val="30"/>
          <w:szCs w:val="30"/>
          <w:lang w:val="en-US" w:eastAsia="zh-CN"/>
        </w:rPr>
        <w:t>8</w:t>
      </w:r>
      <w:r>
        <w:rPr>
          <w:sz w:val="30"/>
          <w:szCs w:val="30"/>
        </w:rPr>
        <w:t>次，影响</w:t>
      </w:r>
      <w:r>
        <w:rPr>
          <w:rFonts w:hint="eastAsia"/>
          <w:sz w:val="30"/>
          <w:szCs w:val="30"/>
        </w:rPr>
        <w:t>时间共1 295.80小时。</w:t>
      </w:r>
    </w:p>
    <w:p>
      <w:pPr>
        <w:numPr>
          <w:ilvl w:val="0"/>
          <w:numId w:val="1"/>
        </w:numPr>
        <w:spacing w:before="156" w:beforeLines="50" w:line="360" w:lineRule="auto"/>
        <w:ind w:firstLine="600"/>
        <w:rPr>
          <w:rFonts w:hint="eastAsia"/>
          <w:sz w:val="30"/>
          <w:szCs w:val="30"/>
        </w:rPr>
      </w:pPr>
      <w:r>
        <w:rPr>
          <w:rFonts w:hint="eastAsia"/>
          <w:sz w:val="30"/>
          <w:szCs w:val="30"/>
        </w:rPr>
        <w:t>海岸侵蚀：监测岸段海岸线基本稳定，海岸侵蚀不明显。</w:t>
      </w:r>
    </w:p>
    <w:p>
      <w:pPr>
        <w:numPr>
          <w:ilvl w:val="0"/>
          <w:numId w:val="1"/>
        </w:numPr>
        <w:spacing w:before="156" w:beforeLines="50" w:line="360" w:lineRule="auto"/>
        <w:ind w:firstLine="600"/>
        <w:rPr>
          <w:rFonts w:hint="eastAsia"/>
          <w:sz w:val="30"/>
          <w:szCs w:val="30"/>
        </w:rPr>
      </w:pPr>
      <w:r>
        <w:rPr>
          <w:rFonts w:hint="eastAsia"/>
          <w:sz w:val="30"/>
          <w:szCs w:val="30"/>
        </w:rPr>
        <w:t>海啸：未对我省产生影响。</w:t>
      </w:r>
    </w:p>
    <w:p>
      <w:pPr>
        <w:spacing w:before="156" w:beforeLines="50" w:line="360" w:lineRule="auto"/>
        <w:jc w:val="center"/>
        <w:rPr>
          <w:rFonts w:hint="eastAsia" w:eastAsia="宋体"/>
          <w:sz w:val="30"/>
          <w:szCs w:val="30"/>
          <w:lang w:eastAsia="zh-CN"/>
        </w:rPr>
      </w:pPr>
      <w:r>
        <w:rPr>
          <w:rFonts w:hint="eastAsia" w:eastAsia="宋体"/>
          <w:sz w:val="30"/>
          <w:szCs w:val="30"/>
          <w:lang w:eastAsia="zh-CN"/>
        </w:rPr>
        <w:drawing>
          <wp:inline distT="0" distB="0" distL="114300" distR="114300">
            <wp:extent cx="5368925" cy="3244215"/>
            <wp:effectExtent l="0" t="0" r="3175" b="13335"/>
            <wp:docPr id="6" name="图片 14" descr="总损失"/>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4" descr="总损失"/>
                    <pic:cNvPicPr>
                      <a:picLocks noChangeAspect="true"/>
                    </pic:cNvPicPr>
                  </pic:nvPicPr>
                  <pic:blipFill>
                    <a:blip r:embed="rId16"/>
                    <a:srcRect l="352" t="5800" r="177" b="8321"/>
                    <a:stretch>
                      <a:fillRect/>
                    </a:stretch>
                  </pic:blipFill>
                  <pic:spPr>
                    <a:xfrm>
                      <a:off x="0" y="0"/>
                      <a:ext cx="5368925" cy="3244215"/>
                    </a:xfrm>
                    <a:prstGeom prst="rect">
                      <a:avLst/>
                    </a:prstGeom>
                    <a:noFill/>
                    <a:ln>
                      <a:noFill/>
                    </a:ln>
                  </pic:spPr>
                </pic:pic>
              </a:graphicData>
            </a:graphic>
          </wp:inline>
        </w:drawing>
      </w:r>
    </w:p>
    <w:p>
      <w:pPr>
        <w:widowControl/>
        <w:jc w:val="center"/>
        <w:rPr>
          <w:sz w:val="24"/>
        </w:rPr>
      </w:pPr>
      <w:r>
        <w:rPr>
          <w:rFonts w:hAnsi="宋体"/>
          <w:sz w:val="24"/>
        </w:rPr>
        <w:t>图</w:t>
      </w:r>
      <w:r>
        <w:rPr>
          <w:sz w:val="24"/>
        </w:rPr>
        <w:t>1  20</w:t>
      </w:r>
      <w:r>
        <w:rPr>
          <w:rFonts w:hint="eastAsia"/>
          <w:sz w:val="24"/>
        </w:rPr>
        <w:t>1</w:t>
      </w:r>
      <w:r>
        <w:rPr>
          <w:rFonts w:hint="eastAsia"/>
          <w:sz w:val="24"/>
          <w:lang w:eastAsia="zh"/>
        </w:rPr>
        <w:t>2</w:t>
      </w:r>
      <w:r>
        <w:rPr>
          <w:rFonts w:hint="eastAsia" w:eastAsia="黑体"/>
          <w:color w:val="000000"/>
          <w:kern w:val="0"/>
          <w:sz w:val="24"/>
          <w:lang w:val="zh-CN"/>
        </w:rPr>
        <w:t>-</w:t>
      </w:r>
      <w:r>
        <w:rPr>
          <w:sz w:val="24"/>
        </w:rPr>
        <w:t>20</w:t>
      </w:r>
      <w:r>
        <w:rPr>
          <w:rFonts w:hint="eastAsia"/>
          <w:sz w:val="24"/>
        </w:rPr>
        <w:t>2</w:t>
      </w:r>
      <w:r>
        <w:rPr>
          <w:rFonts w:hint="eastAsia"/>
          <w:sz w:val="24"/>
          <w:lang w:eastAsia="zh"/>
        </w:rPr>
        <w:t>2</w:t>
      </w:r>
      <w:r>
        <w:rPr>
          <w:rFonts w:hAnsi="宋体"/>
          <w:sz w:val="24"/>
        </w:rPr>
        <w:t>年浙江省海洋灾害直接经济损失及死亡失踪人</w:t>
      </w:r>
      <w:r>
        <w:rPr>
          <w:rFonts w:hint="eastAsia" w:hAnsi="宋体"/>
          <w:sz w:val="24"/>
        </w:rPr>
        <w:t>口</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600" w:firstLineChars="200"/>
        <w:textAlignment w:val="auto"/>
        <w:rPr>
          <w:rFonts w:hint="eastAsia"/>
          <w:sz w:val="30"/>
          <w:szCs w:val="30"/>
        </w:rPr>
      </w:pPr>
      <w:r>
        <w:rPr>
          <w:rFonts w:hint="eastAsia"/>
          <w:sz w:val="30"/>
          <w:szCs w:val="30"/>
        </w:rPr>
        <w:t>与前1</w:t>
      </w:r>
      <w:r>
        <w:rPr>
          <w:sz w:val="30"/>
          <w:szCs w:val="30"/>
        </w:rPr>
        <w:t>0年（20</w:t>
      </w:r>
      <w:r>
        <w:rPr>
          <w:rFonts w:hint="eastAsia"/>
          <w:sz w:val="30"/>
          <w:szCs w:val="30"/>
        </w:rPr>
        <w:t>1</w:t>
      </w:r>
      <w:r>
        <w:rPr>
          <w:rFonts w:hint="eastAsia"/>
          <w:sz w:val="30"/>
          <w:szCs w:val="30"/>
          <w:lang w:eastAsia="zh"/>
        </w:rPr>
        <w:t>2</w:t>
      </w:r>
      <w:r>
        <w:rPr>
          <w:rFonts w:hint="eastAsia" w:eastAsia="仿宋_GB2312"/>
          <w:sz w:val="30"/>
          <w:szCs w:val="30"/>
        </w:rPr>
        <w:t>-</w:t>
      </w:r>
      <w:r>
        <w:rPr>
          <w:sz w:val="30"/>
          <w:szCs w:val="30"/>
        </w:rPr>
        <w:t>20</w:t>
      </w:r>
      <w:r>
        <w:rPr>
          <w:rFonts w:hint="eastAsia"/>
          <w:sz w:val="30"/>
          <w:szCs w:val="30"/>
        </w:rPr>
        <w:t>2</w:t>
      </w:r>
      <w:r>
        <w:rPr>
          <w:rFonts w:hint="eastAsia"/>
          <w:sz w:val="30"/>
          <w:szCs w:val="30"/>
          <w:lang w:eastAsia="zh"/>
        </w:rPr>
        <w:t>1</w:t>
      </w:r>
      <w:r>
        <w:rPr>
          <w:sz w:val="30"/>
          <w:szCs w:val="30"/>
        </w:rPr>
        <w:t>年</w:t>
      </w:r>
      <w:r>
        <w:rPr>
          <w:rFonts w:hint="eastAsia"/>
          <w:sz w:val="30"/>
          <w:szCs w:val="30"/>
        </w:rPr>
        <w:t>，下同</w:t>
      </w:r>
      <w:r>
        <w:rPr>
          <w:sz w:val="30"/>
          <w:szCs w:val="30"/>
        </w:rPr>
        <w:t>）</w:t>
      </w:r>
      <w:r>
        <w:rPr>
          <w:rFonts w:hint="eastAsia"/>
          <w:sz w:val="30"/>
          <w:szCs w:val="30"/>
        </w:rPr>
        <w:t>相比，202</w:t>
      </w:r>
      <w:r>
        <w:rPr>
          <w:rFonts w:hint="eastAsia"/>
          <w:sz w:val="30"/>
          <w:szCs w:val="30"/>
          <w:lang w:eastAsia="zh"/>
        </w:rPr>
        <w:t>2</w:t>
      </w:r>
      <w:r>
        <w:rPr>
          <w:rFonts w:hint="eastAsia"/>
          <w:sz w:val="30"/>
          <w:szCs w:val="30"/>
        </w:rPr>
        <w:t>年我省</w:t>
      </w:r>
      <w:r>
        <w:rPr>
          <w:sz w:val="30"/>
          <w:szCs w:val="30"/>
        </w:rPr>
        <w:t>海洋灾害直接经济损失</w:t>
      </w:r>
      <w:r>
        <w:rPr>
          <w:rFonts w:hint="eastAsia"/>
          <w:sz w:val="30"/>
          <w:szCs w:val="30"/>
        </w:rPr>
        <w:t>（</w:t>
      </w:r>
      <w:r>
        <w:rPr>
          <w:rFonts w:hint="eastAsia" w:hAnsi="宋体"/>
          <w:sz w:val="30"/>
          <w:szCs w:val="30"/>
        </w:rPr>
        <w:t>28 063.79万</w:t>
      </w:r>
      <w:r>
        <w:rPr>
          <w:rFonts w:hint="eastAsia"/>
          <w:sz w:val="30"/>
          <w:szCs w:val="30"/>
        </w:rPr>
        <w:t>元）和</w:t>
      </w:r>
      <w:r>
        <w:rPr>
          <w:sz w:val="30"/>
          <w:szCs w:val="30"/>
        </w:rPr>
        <w:t>死亡失踪人</w:t>
      </w:r>
      <w:r>
        <w:rPr>
          <w:rFonts w:hint="eastAsia"/>
          <w:sz w:val="30"/>
          <w:szCs w:val="30"/>
        </w:rPr>
        <w:t>口（0人）均</w:t>
      </w:r>
      <w:r>
        <w:rPr>
          <w:rFonts w:hint="eastAsia"/>
          <w:sz w:val="30"/>
          <w:szCs w:val="30"/>
          <w:lang w:eastAsia="zh-CN"/>
        </w:rPr>
        <w:t>少</w:t>
      </w:r>
      <w:r>
        <w:rPr>
          <w:sz w:val="30"/>
          <w:szCs w:val="30"/>
        </w:rPr>
        <w:t>于前10年平均值（</w:t>
      </w:r>
      <w:r>
        <w:rPr>
          <w:rFonts w:hint="eastAsia"/>
          <w:sz w:val="30"/>
          <w:szCs w:val="30"/>
        </w:rPr>
        <w:t>198 062.35万</w:t>
      </w:r>
      <w:r>
        <w:rPr>
          <w:sz w:val="30"/>
          <w:szCs w:val="30"/>
        </w:rPr>
        <w:t>元</w:t>
      </w:r>
      <w:r>
        <w:rPr>
          <w:rFonts w:hint="eastAsia"/>
          <w:sz w:val="30"/>
          <w:szCs w:val="30"/>
        </w:rPr>
        <w:t>，15人</w:t>
      </w:r>
      <w:r>
        <w:rPr>
          <w:sz w:val="30"/>
          <w:szCs w:val="30"/>
        </w:rPr>
        <w:t>）</w:t>
      </w:r>
      <w:r>
        <w:rPr>
          <w:rFonts w:hint="eastAsia"/>
          <w:sz w:val="30"/>
          <w:szCs w:val="30"/>
          <w:lang w:eastAsia="zh-CN"/>
        </w:rPr>
        <w:t>（见图</w:t>
      </w:r>
      <w:r>
        <w:rPr>
          <w:rFonts w:hint="eastAsia"/>
          <w:sz w:val="30"/>
          <w:szCs w:val="30"/>
          <w:lang w:val="en-US" w:eastAsia="zh-CN"/>
        </w:rPr>
        <w:t>1</w:t>
      </w:r>
      <w:r>
        <w:rPr>
          <w:rFonts w:hint="eastAsia"/>
          <w:sz w:val="30"/>
          <w:szCs w:val="30"/>
          <w:lang w:eastAsia="zh-CN"/>
        </w:rPr>
        <w:t>）</w:t>
      </w:r>
      <w:r>
        <w:rPr>
          <w:sz w:val="30"/>
          <w:szCs w:val="30"/>
        </w:rPr>
        <w:t>。</w:t>
      </w:r>
      <w:r>
        <w:rPr>
          <w:rFonts w:hint="eastAsia"/>
          <w:sz w:val="30"/>
          <w:szCs w:val="30"/>
        </w:rPr>
        <w:t>与2021年（95 679.70万元，9人）相比，直接经济损失减少67 615.91万元，</w:t>
      </w:r>
      <w:r>
        <w:rPr>
          <w:sz w:val="30"/>
          <w:szCs w:val="30"/>
        </w:rPr>
        <w:t>死亡失踪人</w:t>
      </w:r>
      <w:r>
        <w:rPr>
          <w:rFonts w:hint="eastAsia"/>
          <w:sz w:val="30"/>
          <w:szCs w:val="30"/>
        </w:rPr>
        <w:t>口减少9人。</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600" w:firstLineChars="200"/>
        <w:textAlignment w:val="auto"/>
        <w:rPr>
          <w:rFonts w:hint="eastAsia" w:hAnsi="宋体" w:eastAsia="宋体"/>
          <w:sz w:val="30"/>
          <w:szCs w:val="30"/>
          <w:lang w:eastAsia="zh-CN"/>
        </w:rPr>
      </w:pPr>
      <w:r>
        <w:rPr>
          <w:sz w:val="30"/>
          <w:szCs w:val="30"/>
        </w:rPr>
        <w:t>20</w:t>
      </w:r>
      <w:r>
        <w:rPr>
          <w:rFonts w:hint="eastAsia"/>
          <w:sz w:val="30"/>
          <w:szCs w:val="30"/>
        </w:rPr>
        <w:t>2</w:t>
      </w:r>
      <w:r>
        <w:rPr>
          <w:rFonts w:hint="eastAsia"/>
          <w:sz w:val="30"/>
          <w:szCs w:val="30"/>
          <w:lang w:eastAsia="zh"/>
        </w:rPr>
        <w:t>2</w:t>
      </w:r>
      <w:r>
        <w:rPr>
          <w:rFonts w:hAnsi="宋体"/>
          <w:sz w:val="30"/>
          <w:szCs w:val="30"/>
        </w:rPr>
        <w:t>年</w:t>
      </w:r>
      <w:r>
        <w:rPr>
          <w:rFonts w:hint="eastAsia" w:hAnsi="宋体"/>
          <w:sz w:val="30"/>
          <w:szCs w:val="30"/>
        </w:rPr>
        <w:t>，</w:t>
      </w:r>
      <w:r>
        <w:rPr>
          <w:rFonts w:hAnsi="宋体"/>
          <w:sz w:val="30"/>
          <w:szCs w:val="30"/>
        </w:rPr>
        <w:t>海洋灾害直接经济损失</w:t>
      </w:r>
      <w:r>
        <w:rPr>
          <w:rFonts w:hint="eastAsia" w:hAnsi="宋体"/>
          <w:sz w:val="30"/>
          <w:szCs w:val="30"/>
        </w:rPr>
        <w:t>最严重</w:t>
      </w:r>
      <w:r>
        <w:rPr>
          <w:rFonts w:hAnsi="宋体"/>
          <w:sz w:val="30"/>
          <w:szCs w:val="30"/>
        </w:rPr>
        <w:t>的是</w:t>
      </w:r>
      <w:r>
        <w:rPr>
          <w:rFonts w:hint="eastAsia" w:hAnsi="宋体"/>
          <w:sz w:val="30"/>
          <w:szCs w:val="30"/>
        </w:rPr>
        <w:t>舟山</w:t>
      </w:r>
      <w:r>
        <w:rPr>
          <w:rFonts w:hAnsi="宋体"/>
          <w:sz w:val="30"/>
          <w:szCs w:val="30"/>
        </w:rPr>
        <w:t>市，为</w:t>
      </w:r>
      <w:r>
        <w:rPr>
          <w:rFonts w:hint="eastAsia" w:hAnsi="宋体"/>
          <w:sz w:val="30"/>
          <w:szCs w:val="30"/>
        </w:rPr>
        <w:t xml:space="preserve">    </w:t>
      </w:r>
      <w:r>
        <w:rPr>
          <w:rFonts w:hint="eastAsia" w:hAnsi="宋体"/>
          <w:sz w:val="30"/>
          <w:szCs w:val="30"/>
          <w:lang w:eastAsia="zh"/>
        </w:rPr>
        <w:t>15 993.09</w:t>
      </w:r>
      <w:r>
        <w:rPr>
          <w:rFonts w:hint="eastAsia" w:hAnsi="宋体"/>
          <w:sz w:val="30"/>
          <w:szCs w:val="30"/>
        </w:rPr>
        <w:t>万</w:t>
      </w:r>
      <w:r>
        <w:rPr>
          <w:rFonts w:hAnsi="宋体"/>
          <w:sz w:val="30"/>
          <w:szCs w:val="30"/>
        </w:rPr>
        <w:t>元</w:t>
      </w:r>
      <w:r>
        <w:rPr>
          <w:rFonts w:hint="eastAsia" w:hAnsi="宋体"/>
          <w:sz w:val="30"/>
          <w:szCs w:val="30"/>
        </w:rPr>
        <w:t>，占全省总损失的</w:t>
      </w:r>
      <w:r>
        <w:rPr>
          <w:rFonts w:hint="eastAsia" w:hAnsi="宋体"/>
          <w:sz w:val="30"/>
          <w:szCs w:val="30"/>
          <w:lang w:eastAsia="zh"/>
        </w:rPr>
        <w:t>57</w:t>
      </w:r>
      <w:r>
        <w:rPr>
          <w:rFonts w:hint="eastAsia" w:hAnsi="宋体"/>
          <w:sz w:val="30"/>
          <w:szCs w:val="30"/>
        </w:rPr>
        <w:t>%</w:t>
      </w:r>
      <w:r>
        <w:rPr>
          <w:rFonts w:hAnsi="宋体"/>
          <w:sz w:val="30"/>
          <w:szCs w:val="30"/>
        </w:rPr>
        <w:t>；</w:t>
      </w:r>
      <w:r>
        <w:rPr>
          <w:rFonts w:hint="eastAsia" w:hAnsi="宋体"/>
          <w:sz w:val="30"/>
          <w:szCs w:val="30"/>
        </w:rPr>
        <w:t>其次为宁波市</w:t>
      </w:r>
      <w:r>
        <w:rPr>
          <w:rFonts w:hint="eastAsia" w:hAnsi="宋体"/>
          <w:sz w:val="30"/>
          <w:szCs w:val="30"/>
          <w:lang w:eastAsia="zh"/>
        </w:rPr>
        <w:t>11 960.10</w:t>
      </w:r>
      <w:r>
        <w:rPr>
          <w:rFonts w:hint="eastAsia" w:hAnsi="宋体"/>
          <w:sz w:val="30"/>
          <w:szCs w:val="30"/>
        </w:rPr>
        <w:t>万元，台州市</w:t>
      </w:r>
      <w:r>
        <w:rPr>
          <w:rFonts w:hint="eastAsia" w:hAnsi="宋体"/>
          <w:sz w:val="30"/>
          <w:szCs w:val="30"/>
          <w:lang w:eastAsia="zh"/>
        </w:rPr>
        <w:t>110.60</w:t>
      </w:r>
      <w:r>
        <w:rPr>
          <w:rFonts w:hint="eastAsia" w:hAnsi="宋体"/>
          <w:sz w:val="30"/>
          <w:szCs w:val="30"/>
        </w:rPr>
        <w:t>万元</w:t>
      </w:r>
      <w:r>
        <w:rPr>
          <w:rFonts w:hAnsi="宋体"/>
          <w:sz w:val="30"/>
          <w:szCs w:val="30"/>
        </w:rPr>
        <w:t>。</w:t>
      </w:r>
      <w:r>
        <w:rPr>
          <w:rFonts w:hint="eastAsia" w:hAnsi="宋体"/>
          <w:sz w:val="30"/>
          <w:szCs w:val="30"/>
          <w:lang w:eastAsia="zh-CN"/>
        </w:rPr>
        <w:t>嘉兴市和温州市未产生明显直接经济损失。</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600" w:firstLineChars="200"/>
        <w:textAlignment w:val="auto"/>
        <w:rPr>
          <w:rFonts w:hAnsi="宋体"/>
          <w:sz w:val="30"/>
          <w:szCs w:val="30"/>
        </w:rPr>
      </w:pPr>
    </w:p>
    <w:p>
      <w:pPr>
        <w:spacing w:line="360" w:lineRule="auto"/>
        <w:ind w:firstLine="600" w:firstLineChars="200"/>
        <w:rPr>
          <w:rFonts w:hAnsi="宋体"/>
          <w:sz w:val="30"/>
          <w:szCs w:val="30"/>
        </w:rPr>
      </w:pPr>
    </w:p>
    <w:p>
      <w:pPr>
        <w:spacing w:line="360" w:lineRule="auto"/>
        <w:ind w:firstLine="600" w:firstLineChars="200"/>
        <w:rPr>
          <w:rFonts w:hint="eastAsia" w:hAnsi="宋体"/>
          <w:sz w:val="30"/>
          <w:szCs w:val="30"/>
        </w:rPr>
      </w:pPr>
    </w:p>
    <w:p>
      <w:pPr>
        <w:spacing w:line="360" w:lineRule="auto"/>
        <w:ind w:firstLine="600" w:firstLineChars="200"/>
        <w:rPr>
          <w:rFonts w:hAnsi="宋体"/>
          <w:sz w:val="30"/>
          <w:szCs w:val="30"/>
        </w:rPr>
      </w:pPr>
    </w:p>
    <w:p>
      <w:pPr>
        <w:jc w:val="center"/>
        <w:rPr>
          <w:sz w:val="24"/>
        </w:rPr>
      </w:pPr>
      <w:r>
        <w:rPr>
          <w:rFonts w:hAnsi="宋体"/>
          <w:sz w:val="24"/>
        </w:rPr>
        <w:t>表</w:t>
      </w:r>
      <w:r>
        <w:rPr>
          <w:sz w:val="24"/>
        </w:rPr>
        <w:t>1  20</w:t>
      </w:r>
      <w:r>
        <w:rPr>
          <w:rFonts w:hint="eastAsia"/>
          <w:sz w:val="24"/>
        </w:rPr>
        <w:t>22</w:t>
      </w:r>
      <w:r>
        <w:rPr>
          <w:rFonts w:hAnsi="宋体"/>
          <w:sz w:val="24"/>
        </w:rPr>
        <w:t>年沿海各市主要海洋灾害损失情况</w:t>
      </w:r>
    </w:p>
    <w:tbl>
      <w:tblPr>
        <w:tblStyle w:val="20"/>
        <w:tblW w:w="0" w:type="auto"/>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1446"/>
        <w:gridCol w:w="2126"/>
        <w:gridCol w:w="2410"/>
        <w:gridCol w:w="2578"/>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674" w:hRule="exact"/>
          <w:jc w:val="center"/>
        </w:trPr>
        <w:tc>
          <w:tcPr>
            <w:tcW w:w="1446"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b/>
                <w:bCs/>
                <w:color w:val="FFFFFF"/>
                <w:szCs w:val="21"/>
              </w:rPr>
            </w:pPr>
            <w:r>
              <w:rPr>
                <w:b/>
                <w:bCs/>
                <w:color w:val="FFFFFF"/>
                <w:szCs w:val="21"/>
              </w:rPr>
              <w:t>市</w:t>
            </w:r>
          </w:p>
        </w:tc>
        <w:tc>
          <w:tcPr>
            <w:tcW w:w="2126"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b/>
                <w:bCs/>
                <w:color w:val="FFFFFF"/>
                <w:szCs w:val="21"/>
              </w:rPr>
            </w:pPr>
            <w:r>
              <w:rPr>
                <w:b/>
                <w:bCs/>
                <w:color w:val="FFFFFF"/>
                <w:szCs w:val="21"/>
              </w:rPr>
              <w:t>致灾原因</w:t>
            </w:r>
          </w:p>
        </w:tc>
        <w:tc>
          <w:tcPr>
            <w:tcW w:w="2410"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b/>
                <w:bCs/>
                <w:color w:val="FFFFFF"/>
                <w:szCs w:val="21"/>
              </w:rPr>
            </w:pPr>
            <w:r>
              <w:rPr>
                <w:b/>
                <w:bCs/>
                <w:color w:val="FFFFFF"/>
                <w:szCs w:val="21"/>
              </w:rPr>
              <w:t>死亡失踪人</w:t>
            </w:r>
            <w:r>
              <w:rPr>
                <w:rFonts w:hint="eastAsia"/>
                <w:b/>
                <w:bCs/>
                <w:color w:val="FFFFFF"/>
                <w:szCs w:val="21"/>
              </w:rPr>
              <w:t>口</w:t>
            </w:r>
          </w:p>
          <w:p>
            <w:pPr>
              <w:autoSpaceDN w:val="0"/>
              <w:adjustRightInd w:val="0"/>
              <w:snapToGrid w:val="0"/>
              <w:jc w:val="center"/>
              <w:textAlignment w:val="top"/>
              <w:rPr>
                <w:b/>
                <w:bCs/>
                <w:color w:val="FFFFFF"/>
                <w:szCs w:val="21"/>
              </w:rPr>
            </w:pPr>
            <w:r>
              <w:rPr>
                <w:b/>
                <w:bCs/>
                <w:color w:val="FFFFFF"/>
                <w:szCs w:val="21"/>
              </w:rPr>
              <w:t>（人）</w:t>
            </w:r>
          </w:p>
        </w:tc>
        <w:tc>
          <w:tcPr>
            <w:tcW w:w="2578"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b/>
                <w:bCs/>
                <w:color w:val="FFFFFF"/>
                <w:szCs w:val="21"/>
              </w:rPr>
            </w:pPr>
            <w:r>
              <w:rPr>
                <w:b/>
                <w:bCs/>
                <w:color w:val="FFFFFF"/>
                <w:szCs w:val="21"/>
              </w:rPr>
              <w:t>直接经济损失</w:t>
            </w:r>
          </w:p>
          <w:p>
            <w:pPr>
              <w:autoSpaceDN w:val="0"/>
              <w:adjustRightInd w:val="0"/>
              <w:snapToGrid w:val="0"/>
              <w:jc w:val="center"/>
              <w:textAlignment w:val="top"/>
              <w:rPr>
                <w:b/>
                <w:bCs/>
                <w:color w:val="FFFFFF"/>
                <w:szCs w:val="21"/>
              </w:rPr>
            </w:pPr>
            <w:r>
              <w:rPr>
                <w:b/>
                <w:bCs/>
                <w:color w:val="FFFFFF"/>
                <w:szCs w:val="21"/>
              </w:rPr>
              <w:t>（万元）</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restart"/>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嘉兴</w:t>
            </w:r>
          </w:p>
        </w:tc>
        <w:tc>
          <w:tcPr>
            <w:tcW w:w="2126"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风暴潮</w:t>
            </w:r>
          </w:p>
        </w:tc>
        <w:tc>
          <w:tcPr>
            <w:tcW w:w="2410"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1050" w:rightChars="500"/>
              <w:jc w:val="right"/>
              <w:textAlignment w:val="top"/>
              <w:rPr>
                <w:szCs w:val="21"/>
              </w:rPr>
            </w:pPr>
            <w:r>
              <w:rPr>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840" w:rightChars="400"/>
              <w:jc w:val="right"/>
              <w:textAlignment w:val="top"/>
              <w:rPr>
                <w:rFonts w:hint="eastAsia" w:eastAsia="宋体"/>
                <w:szCs w:val="21"/>
                <w:lang w:eastAsia="zh-CN"/>
              </w:rPr>
            </w:pPr>
            <w:r>
              <w:rPr>
                <w:rFonts w:hint="eastAsia" w:ascii="微软雅黑" w:hAnsi="微软雅黑" w:eastAsia="微软雅黑"/>
                <w:sz w:val="21"/>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continue"/>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p>
        </w:tc>
        <w:tc>
          <w:tcPr>
            <w:tcW w:w="2126"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海浪</w:t>
            </w:r>
          </w:p>
        </w:tc>
        <w:tc>
          <w:tcPr>
            <w:tcW w:w="2410"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1050" w:rightChars="500"/>
              <w:jc w:val="right"/>
              <w:textAlignment w:val="top"/>
              <w:rPr>
                <w:szCs w:val="21"/>
              </w:rPr>
            </w:pPr>
            <w:r>
              <w:rPr>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840" w:rightChars="400"/>
              <w:jc w:val="right"/>
              <w:textAlignment w:val="top"/>
              <w:rPr>
                <w:szCs w:val="21"/>
              </w:rPr>
            </w:pPr>
            <w:r>
              <w:rPr>
                <w:rFonts w:hint="eastAsia"/>
                <w:szCs w:val="21"/>
                <w:lang w:val="en-US" w:eastAsia="zh-CN"/>
              </w:rPr>
              <w:t>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4" w:hRule="exact"/>
          <w:jc w:val="center"/>
        </w:trPr>
        <w:tc>
          <w:tcPr>
            <w:tcW w:w="1446" w:type="dxa"/>
            <w:vMerge w:val="restart"/>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r>
              <w:rPr>
                <w:rFonts w:hAnsi="宋体"/>
                <w:szCs w:val="21"/>
              </w:rPr>
              <w:t>舟山</w:t>
            </w:r>
          </w:p>
        </w:tc>
        <w:tc>
          <w:tcPr>
            <w:tcW w:w="2126"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r>
              <w:rPr>
                <w:rFonts w:hAnsi="宋体"/>
                <w:szCs w:val="21"/>
              </w:rPr>
              <w:t>风暴潮</w:t>
            </w:r>
          </w:p>
        </w:tc>
        <w:tc>
          <w:tcPr>
            <w:tcW w:w="2410"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1050" w:rightChars="500"/>
              <w:jc w:val="right"/>
              <w:textAlignment w:val="top"/>
              <w:rPr>
                <w:szCs w:val="21"/>
              </w:rPr>
            </w:pPr>
            <w:r>
              <w:rPr>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840" w:rightChars="400"/>
              <w:jc w:val="right"/>
              <w:textAlignment w:val="top"/>
              <w:rPr>
                <w:szCs w:val="21"/>
              </w:rPr>
            </w:pPr>
            <w:r>
              <w:rPr>
                <w:rFonts w:hint="eastAsia"/>
                <w:szCs w:val="21"/>
              </w:rPr>
              <w:t>14 847.09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continue"/>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p>
        </w:tc>
        <w:tc>
          <w:tcPr>
            <w:tcW w:w="2126"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r>
              <w:rPr>
                <w:rFonts w:hAnsi="宋体"/>
                <w:szCs w:val="21"/>
              </w:rPr>
              <w:t>海浪</w:t>
            </w:r>
          </w:p>
        </w:tc>
        <w:tc>
          <w:tcPr>
            <w:tcW w:w="2410"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1050" w:rightChars="500"/>
              <w:jc w:val="right"/>
              <w:textAlignment w:val="top"/>
              <w:rPr>
                <w:rFonts w:hint="eastAsia"/>
                <w:szCs w:val="21"/>
              </w:rPr>
            </w:pPr>
            <w:r>
              <w:rPr>
                <w:rFonts w:hint="eastAsia"/>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840" w:rightChars="400"/>
              <w:jc w:val="right"/>
              <w:textAlignment w:val="top"/>
              <w:rPr>
                <w:rFonts w:hint="eastAsia"/>
                <w:szCs w:val="21"/>
              </w:rPr>
            </w:pPr>
            <w:r>
              <w:rPr>
                <w:rFonts w:hint="eastAsia"/>
                <w:szCs w:val="21"/>
              </w:rPr>
              <w:t>1 146.00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restart"/>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宁波</w:t>
            </w:r>
          </w:p>
        </w:tc>
        <w:tc>
          <w:tcPr>
            <w:tcW w:w="2126"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风暴潮</w:t>
            </w:r>
          </w:p>
        </w:tc>
        <w:tc>
          <w:tcPr>
            <w:tcW w:w="2410"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1050" w:rightChars="500"/>
              <w:jc w:val="right"/>
              <w:textAlignment w:val="top"/>
              <w:rPr>
                <w:szCs w:val="21"/>
              </w:rPr>
            </w:pPr>
            <w:r>
              <w:rPr>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840" w:rightChars="400"/>
              <w:jc w:val="right"/>
              <w:textAlignment w:val="top"/>
              <w:rPr>
                <w:szCs w:val="21"/>
              </w:rPr>
            </w:pPr>
            <w:r>
              <w:rPr>
                <w:rFonts w:hint="eastAsia"/>
                <w:szCs w:val="21"/>
              </w:rPr>
              <w:t>11 960.10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continue"/>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p>
        </w:tc>
        <w:tc>
          <w:tcPr>
            <w:tcW w:w="2126"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海浪</w:t>
            </w:r>
          </w:p>
        </w:tc>
        <w:tc>
          <w:tcPr>
            <w:tcW w:w="2410"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1050" w:rightChars="500"/>
              <w:jc w:val="right"/>
              <w:textAlignment w:val="top"/>
              <w:rPr>
                <w:szCs w:val="21"/>
              </w:rPr>
            </w:pPr>
            <w:r>
              <w:rPr>
                <w:rFonts w:hint="eastAsia"/>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840" w:rightChars="400"/>
              <w:jc w:val="right"/>
              <w:textAlignment w:val="top"/>
              <w:rPr>
                <w:szCs w:val="21"/>
              </w:rPr>
            </w:pPr>
            <w:r>
              <w:rPr>
                <w:szCs w:val="21"/>
              </w:rPr>
              <w:t>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restart"/>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r>
              <w:rPr>
                <w:rFonts w:hAnsi="宋体"/>
                <w:szCs w:val="21"/>
              </w:rPr>
              <w:t>台州</w:t>
            </w:r>
          </w:p>
        </w:tc>
        <w:tc>
          <w:tcPr>
            <w:tcW w:w="2126"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r>
              <w:rPr>
                <w:rFonts w:hAnsi="宋体"/>
                <w:szCs w:val="21"/>
              </w:rPr>
              <w:t>风暴潮</w:t>
            </w:r>
          </w:p>
        </w:tc>
        <w:tc>
          <w:tcPr>
            <w:tcW w:w="2410"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1050" w:rightChars="500"/>
              <w:jc w:val="right"/>
              <w:textAlignment w:val="top"/>
              <w:rPr>
                <w:szCs w:val="21"/>
              </w:rPr>
            </w:pPr>
            <w:r>
              <w:rPr>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840" w:rightChars="400"/>
              <w:jc w:val="right"/>
              <w:textAlignment w:val="top"/>
              <w:rPr>
                <w:szCs w:val="21"/>
              </w:rPr>
            </w:pPr>
            <w:r>
              <w:rPr>
                <w:rFonts w:hint="eastAsia"/>
                <w:szCs w:val="21"/>
              </w:rPr>
              <w:t>110.60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continue"/>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p>
        </w:tc>
        <w:tc>
          <w:tcPr>
            <w:tcW w:w="2126"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szCs w:val="21"/>
              </w:rPr>
            </w:pPr>
            <w:r>
              <w:rPr>
                <w:rFonts w:hAnsi="宋体"/>
                <w:szCs w:val="21"/>
              </w:rPr>
              <w:t>海浪</w:t>
            </w:r>
          </w:p>
        </w:tc>
        <w:tc>
          <w:tcPr>
            <w:tcW w:w="2410"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1050" w:rightChars="500"/>
              <w:jc w:val="right"/>
              <w:textAlignment w:val="top"/>
              <w:rPr>
                <w:szCs w:val="21"/>
              </w:rPr>
            </w:pPr>
            <w:r>
              <w:rPr>
                <w:rFonts w:hint="eastAsia"/>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ind w:right="840" w:rightChars="400"/>
              <w:jc w:val="right"/>
              <w:textAlignment w:val="top"/>
              <w:rPr>
                <w:szCs w:val="21"/>
              </w:rPr>
            </w:pPr>
            <w:r>
              <w:rPr>
                <w:rFonts w:hint="eastAsia"/>
                <w:szCs w:val="21"/>
              </w:rPr>
              <w:t>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restart"/>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温州</w:t>
            </w:r>
          </w:p>
        </w:tc>
        <w:tc>
          <w:tcPr>
            <w:tcW w:w="2126"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风暴潮</w:t>
            </w:r>
          </w:p>
        </w:tc>
        <w:tc>
          <w:tcPr>
            <w:tcW w:w="2410"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1050" w:rightChars="500"/>
              <w:jc w:val="right"/>
              <w:textAlignment w:val="top"/>
              <w:rPr>
                <w:szCs w:val="21"/>
              </w:rPr>
            </w:pPr>
            <w:r>
              <w:rPr>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840" w:rightChars="400"/>
              <w:jc w:val="right"/>
              <w:textAlignment w:val="top"/>
              <w:rPr>
                <w:rFonts w:hint="eastAsia"/>
                <w:szCs w:val="21"/>
              </w:rPr>
            </w:pPr>
            <w:r>
              <w:rPr>
                <w:rFonts w:hint="eastAsia" w:ascii="微软雅黑" w:hAnsi="微软雅黑" w:eastAsia="微软雅黑"/>
                <w:sz w:val="21"/>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446" w:type="dxa"/>
            <w:vMerge w:val="continue"/>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p>
        </w:tc>
        <w:tc>
          <w:tcPr>
            <w:tcW w:w="2126"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szCs w:val="21"/>
              </w:rPr>
            </w:pPr>
            <w:r>
              <w:rPr>
                <w:rFonts w:hAnsi="宋体"/>
                <w:szCs w:val="21"/>
              </w:rPr>
              <w:t>海浪</w:t>
            </w:r>
          </w:p>
        </w:tc>
        <w:tc>
          <w:tcPr>
            <w:tcW w:w="2410"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1050" w:rightChars="500"/>
              <w:jc w:val="right"/>
              <w:textAlignment w:val="top"/>
              <w:rPr>
                <w:rFonts w:hint="eastAsia"/>
                <w:szCs w:val="21"/>
              </w:rPr>
            </w:pPr>
            <w:r>
              <w:rPr>
                <w:rFonts w:hint="eastAsia"/>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ind w:right="840" w:rightChars="400"/>
              <w:jc w:val="right"/>
              <w:textAlignment w:val="top"/>
              <w:rPr>
                <w:rFonts w:hint="eastAsia"/>
                <w:szCs w:val="21"/>
              </w:rPr>
            </w:pPr>
            <w:r>
              <w:rPr>
                <w:rFonts w:hint="eastAsia"/>
                <w:szCs w:val="21"/>
              </w:rPr>
              <w:t>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526" w:hRule="exact"/>
          <w:jc w:val="center"/>
        </w:trPr>
        <w:tc>
          <w:tcPr>
            <w:tcW w:w="3572" w:type="dxa"/>
            <w:gridSpan w:val="2"/>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b/>
                <w:bCs/>
                <w:color w:val="FFFFFF"/>
                <w:kern w:val="2"/>
                <w:sz w:val="21"/>
                <w:szCs w:val="21"/>
                <w:lang w:val="en-US" w:eastAsia="zh-CN" w:bidi="ar-SA"/>
              </w:rPr>
            </w:pPr>
            <w:r>
              <w:rPr>
                <w:rFonts w:hAnsi="宋体"/>
                <w:b/>
                <w:bCs/>
                <w:color w:val="FFFFFF"/>
                <w:szCs w:val="21"/>
              </w:rPr>
              <w:t>合计</w:t>
            </w:r>
          </w:p>
        </w:tc>
        <w:tc>
          <w:tcPr>
            <w:tcW w:w="2410"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ind w:right="1050" w:rightChars="500"/>
              <w:jc w:val="right"/>
              <w:textAlignment w:val="top"/>
              <w:rPr>
                <w:b/>
                <w:bCs/>
                <w:color w:val="FFFFFF"/>
                <w:kern w:val="2"/>
                <w:sz w:val="21"/>
                <w:szCs w:val="21"/>
                <w:lang w:val="en-US" w:eastAsia="zh-CN" w:bidi="ar-SA"/>
              </w:rPr>
            </w:pPr>
            <w:r>
              <w:rPr>
                <w:rFonts w:hint="eastAsia"/>
                <w:b/>
                <w:bCs/>
                <w:color w:val="FFFFFF"/>
                <w:szCs w:val="21"/>
              </w:rPr>
              <w:t>0</w:t>
            </w:r>
          </w:p>
        </w:tc>
        <w:tc>
          <w:tcPr>
            <w:tcW w:w="2578"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ind w:right="840" w:rightChars="400"/>
              <w:jc w:val="right"/>
              <w:textAlignment w:val="top"/>
              <w:rPr>
                <w:b/>
                <w:bCs/>
                <w:color w:val="FFFFFF"/>
                <w:kern w:val="2"/>
                <w:sz w:val="21"/>
                <w:szCs w:val="21"/>
                <w:lang w:val="en-US" w:eastAsia="zh-CN" w:bidi="ar-SA"/>
              </w:rPr>
            </w:pPr>
            <w:r>
              <w:rPr>
                <w:rFonts w:hint="eastAsia"/>
                <w:b/>
                <w:bCs/>
                <w:color w:val="FFFFFF"/>
                <w:szCs w:val="21"/>
              </w:rPr>
              <w:t>28 063.79</w:t>
            </w:r>
          </w:p>
        </w:tc>
      </w:tr>
    </w:tbl>
    <w:p>
      <w:pPr>
        <w:adjustRightInd w:val="0"/>
        <w:snapToGrid w:val="0"/>
        <w:rPr>
          <w:rFonts w:ascii="宋体" w:hAnsi="宋体"/>
          <w:szCs w:val="18"/>
        </w:rPr>
      </w:pPr>
      <w:r>
        <w:rPr>
          <w:rFonts w:ascii="宋体" w:hAnsi="宋体"/>
          <w:szCs w:val="18"/>
        </w:rPr>
        <w:t>注：表中死亡失踪人数、直接经济损失是在所辖陆域和海域内发生的。</w:t>
      </w:r>
    </w:p>
    <w:p>
      <w:pPr>
        <w:adjustRightInd w:val="0"/>
        <w:snapToGrid w:val="0"/>
        <w:rPr>
          <w:rFonts w:ascii="宋体" w:hAnsi="宋体"/>
          <w:sz w:val="24"/>
          <w:szCs w:val="21"/>
        </w:rPr>
      </w:pPr>
    </w:p>
    <w:p>
      <w:pPr>
        <w:adjustRightInd w:val="0"/>
        <w:snapToGrid w:val="0"/>
        <w:rPr>
          <w:rFonts w:ascii="宋体" w:hAnsi="宋体"/>
          <w:sz w:val="24"/>
          <w:szCs w:val="21"/>
        </w:rPr>
      </w:pPr>
    </w:p>
    <w:p>
      <w:pPr>
        <w:adjustRightInd w:val="0"/>
        <w:snapToGrid w:val="0"/>
        <w:jc w:val="center"/>
        <w:rPr>
          <w:rFonts w:hint="eastAsia" w:ascii="宋体" w:hAnsi="宋体"/>
          <w:sz w:val="24"/>
          <w:szCs w:val="21"/>
        </w:rPr>
      </w:pPr>
      <w:r>
        <w:rPr>
          <w:sz w:val="30"/>
          <w:szCs w:val="30"/>
        </w:rPr>
        <mc:AlternateContent>
          <mc:Choice Requires="wps">
            <w:drawing>
              <wp:inline distT="0" distB="0" distL="114300" distR="114300">
                <wp:extent cx="5378450" cy="2143125"/>
                <wp:effectExtent l="6350" t="6350" r="6350" b="22225"/>
                <wp:docPr id="1" name="文本框 19"/>
                <wp:cNvGraphicFramePr/>
                <a:graphic xmlns:a="http://schemas.openxmlformats.org/drawingml/2006/main">
                  <a:graphicData uri="http://schemas.microsoft.com/office/word/2010/wordprocessingShape">
                    <wps:wsp>
                      <wps:cNvSpPr txBox="true">
                        <a:spLocks noRot="true"/>
                      </wps:cNvSpPr>
                      <wps:spPr>
                        <a:xfrm>
                          <a:off x="0" y="0"/>
                          <a:ext cx="5378450" cy="2143125"/>
                        </a:xfrm>
                        <a:prstGeom prst="rect">
                          <a:avLst/>
                        </a:prstGeom>
                        <a:gradFill rotWithShape="true">
                          <a:gsLst>
                            <a:gs pos="0">
                              <a:srgbClr val="F2DBDB"/>
                            </a:gs>
                            <a:gs pos="100000">
                              <a:srgbClr val="FFFFFF"/>
                            </a:gs>
                          </a:gsLst>
                          <a:lin ang="5400000" scaled="true"/>
                          <a:tileRect/>
                        </a:gradFill>
                        <a:ln w="12700" cap="flat" cmpd="sng">
                          <a:solidFill>
                            <a:srgbClr val="484329"/>
                          </a:solidFill>
                          <a:prstDash val="solid"/>
                          <a:miter/>
                          <a:headEnd type="none" w="med" len="med"/>
                          <a:tailEnd type="none" w="med" len="med"/>
                        </a:ln>
                      </wps:spPr>
                      <wps:txbx>
                        <w:txbxContent>
                          <w:p>
                            <w:pPr>
                              <w:adjustRightInd w:val="0"/>
                              <w:snapToGrid w:val="0"/>
                              <w:spacing w:line="320" w:lineRule="exact"/>
                              <w:jc w:val="center"/>
                              <w:rPr>
                                <w:rFonts w:eastAsia="黑体"/>
                                <w:sz w:val="28"/>
                              </w:rPr>
                            </w:pPr>
                            <w:r>
                              <w:rPr>
                                <w:rFonts w:hint="eastAsia" w:eastAsia="黑体"/>
                                <w:sz w:val="28"/>
                              </w:rPr>
                              <w:t>“海灾智防”场景助力精准防灾减灾</w:t>
                            </w:r>
                          </w:p>
                          <w:p>
                            <w:pPr>
                              <w:pStyle w:val="16"/>
                              <w:spacing w:line="400" w:lineRule="exact"/>
                              <w:ind w:firstLine="435"/>
                              <w:jc w:val="both"/>
                              <w:rPr>
                                <w:rFonts w:ascii="Times New Roman"/>
                                <w:kern w:val="2"/>
                                <w:sz w:val="21"/>
                                <w:szCs w:val="21"/>
                              </w:rPr>
                            </w:pPr>
                            <w:r>
                              <w:rPr>
                                <w:rFonts w:hint="eastAsia" w:ascii="Times New Roman"/>
                                <w:kern w:val="2"/>
                                <w:sz w:val="21"/>
                                <w:szCs w:val="21"/>
                              </w:rPr>
                              <w:t>2022年7月1日 “海灾智防”场景正式上线并实现省市县三级贯通。“海灾智防”场景基于省域空间治理2.0平台，集成了全省</w:t>
                            </w:r>
                            <w:r>
                              <w:rPr>
                                <w:rFonts w:hint="eastAsia" w:ascii="Times New Roman"/>
                                <w:kern w:val="2"/>
                                <w:sz w:val="21"/>
                                <w:szCs w:val="21"/>
                                <w:lang w:eastAsia="zh-CN"/>
                              </w:rPr>
                              <w:t>水文气象观测</w:t>
                            </w:r>
                            <w:r>
                              <w:rPr>
                                <w:rFonts w:hint="eastAsia" w:ascii="Times New Roman"/>
                                <w:kern w:val="2"/>
                                <w:sz w:val="21"/>
                                <w:szCs w:val="21"/>
                              </w:rPr>
                              <w:t>数据</w:t>
                            </w:r>
                            <w:r>
                              <w:rPr>
                                <w:rFonts w:hint="eastAsia" w:ascii="Times New Roman"/>
                                <w:kern w:val="2"/>
                                <w:sz w:val="21"/>
                                <w:szCs w:val="21"/>
                                <w:lang w:eastAsia="zh-CN"/>
                              </w:rPr>
                              <w:t>、</w:t>
                            </w:r>
                            <w:r>
                              <w:rPr>
                                <w:rFonts w:hint="eastAsia" w:ascii="Times New Roman"/>
                                <w:kern w:val="2"/>
                                <w:sz w:val="21"/>
                                <w:szCs w:val="21"/>
                              </w:rPr>
                              <w:t>海岸带视频监控</w:t>
                            </w:r>
                            <w:r>
                              <w:rPr>
                                <w:rFonts w:hint="eastAsia" w:ascii="Times New Roman"/>
                                <w:kern w:val="2"/>
                                <w:sz w:val="21"/>
                                <w:szCs w:val="21"/>
                                <w:lang w:eastAsia="zh-CN"/>
                              </w:rPr>
                              <w:t>和</w:t>
                            </w:r>
                            <w:r>
                              <w:rPr>
                                <w:rFonts w:hint="eastAsia" w:ascii="Times New Roman"/>
                                <w:kern w:val="2"/>
                                <w:sz w:val="21"/>
                                <w:szCs w:val="21"/>
                              </w:rPr>
                              <w:t>海洋智能网格预报产品，并深度挖掘海洋灾害普查成果应用价值，实现海洋灾害预警预报和风险研判精细到乡镇，落地到具体承灾体。自上线以来，有效应对了2211“轩岚诺”、2212“梅花”、2214“南玛都”等台风，开展了风暴潮漫堤、养殖网箱破坏风险预警和风暴潮灾害重点防御区风险研判，指导基层加强对沿岸风险区域的巡查，有效减轻了海洋灾害影响。</w:t>
                            </w:r>
                          </w:p>
                        </w:txbxContent>
                      </wps:txbx>
                      <wps:bodyPr vert="horz" wrap="square" anchor="t" anchorCtr="false" upright="true"/>
                    </wps:wsp>
                  </a:graphicData>
                </a:graphic>
              </wp:inline>
            </w:drawing>
          </mc:Choice>
          <mc:Fallback>
            <w:pict>
              <v:shape id="文本框 19" o:spid="_x0000_s1026" o:spt="202" type="#_x0000_t202" style="height:168.75pt;width:423.5pt;" fillcolor="#F2DBDB" filled="t" stroked="t" coordsize="21600,21600" o:gfxdata="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CzEjmf1QAAAAUBAAAPAAAA&#10;AAAAAAEAIAAAADgAAABkcnMvZG93bnJldi54bWxQSwECFAAUAAAACACHTuJAfc59tXQCAADsBAAA&#10;DgAAAAAAAAABACAAAAA6AQAAZHJzL2Uyb0RvYy54bWxQSwUGAAAAAAYABgBZAQAAIAYAAAAA&#10;">
                <v:fill type="gradient" on="t" color2="#FFFFFF" focus="100%" focussize="0,0" rotate="t"/>
                <v:stroke weight="1pt" color="#484329" joinstyle="miter"/>
                <v:imagedata o:title=""/>
                <o:lock v:ext="edit" rotation="t" aspectratio="f"/>
                <v:textbox>
                  <w:txbxContent>
                    <w:p>
                      <w:pPr>
                        <w:adjustRightInd w:val="0"/>
                        <w:snapToGrid w:val="0"/>
                        <w:spacing w:line="320" w:lineRule="exact"/>
                        <w:jc w:val="center"/>
                        <w:rPr>
                          <w:rFonts w:eastAsia="黑体"/>
                          <w:sz w:val="28"/>
                        </w:rPr>
                      </w:pPr>
                      <w:r>
                        <w:rPr>
                          <w:rFonts w:hint="eastAsia" w:eastAsia="黑体"/>
                          <w:sz w:val="28"/>
                        </w:rPr>
                        <w:t>“海灾智防”场景助力精准防灾减灾</w:t>
                      </w:r>
                    </w:p>
                    <w:p>
                      <w:pPr>
                        <w:pStyle w:val="16"/>
                        <w:spacing w:line="400" w:lineRule="exact"/>
                        <w:ind w:firstLine="435"/>
                        <w:jc w:val="both"/>
                        <w:rPr>
                          <w:rFonts w:ascii="Times New Roman"/>
                          <w:kern w:val="2"/>
                          <w:sz w:val="21"/>
                          <w:szCs w:val="21"/>
                        </w:rPr>
                      </w:pPr>
                      <w:r>
                        <w:rPr>
                          <w:rFonts w:hint="eastAsia" w:ascii="Times New Roman"/>
                          <w:kern w:val="2"/>
                          <w:sz w:val="21"/>
                          <w:szCs w:val="21"/>
                        </w:rPr>
                        <w:t>2022年7月1日 “海灾智防”场景正式上线并实现省市县三级贯通。“海灾智防”场景基于省域空间治理2.0平台，集成了全省</w:t>
                      </w:r>
                      <w:r>
                        <w:rPr>
                          <w:rFonts w:hint="eastAsia" w:ascii="Times New Roman"/>
                          <w:kern w:val="2"/>
                          <w:sz w:val="21"/>
                          <w:szCs w:val="21"/>
                          <w:lang w:eastAsia="zh-CN"/>
                        </w:rPr>
                        <w:t>水文气象观测</w:t>
                      </w:r>
                      <w:r>
                        <w:rPr>
                          <w:rFonts w:hint="eastAsia" w:ascii="Times New Roman"/>
                          <w:kern w:val="2"/>
                          <w:sz w:val="21"/>
                          <w:szCs w:val="21"/>
                        </w:rPr>
                        <w:t>数据</w:t>
                      </w:r>
                      <w:r>
                        <w:rPr>
                          <w:rFonts w:hint="eastAsia" w:ascii="Times New Roman"/>
                          <w:kern w:val="2"/>
                          <w:sz w:val="21"/>
                          <w:szCs w:val="21"/>
                          <w:lang w:eastAsia="zh-CN"/>
                        </w:rPr>
                        <w:t>、</w:t>
                      </w:r>
                      <w:r>
                        <w:rPr>
                          <w:rFonts w:hint="eastAsia" w:ascii="Times New Roman"/>
                          <w:kern w:val="2"/>
                          <w:sz w:val="21"/>
                          <w:szCs w:val="21"/>
                        </w:rPr>
                        <w:t>海岸带视频监控</w:t>
                      </w:r>
                      <w:r>
                        <w:rPr>
                          <w:rFonts w:hint="eastAsia" w:ascii="Times New Roman"/>
                          <w:kern w:val="2"/>
                          <w:sz w:val="21"/>
                          <w:szCs w:val="21"/>
                          <w:lang w:eastAsia="zh-CN"/>
                        </w:rPr>
                        <w:t>和</w:t>
                      </w:r>
                      <w:r>
                        <w:rPr>
                          <w:rFonts w:hint="eastAsia" w:ascii="Times New Roman"/>
                          <w:kern w:val="2"/>
                          <w:sz w:val="21"/>
                          <w:szCs w:val="21"/>
                        </w:rPr>
                        <w:t>海洋智能网格预报产品，并深度挖掘海洋灾害普查成果应用价值，实现海洋灾害预警预报和风险研判精细到乡镇，落地到具体承灾体。自上线以来，有效应对了2211“轩岚诺”、2212“梅花”、2214“南玛都”等台风，开展了风暴潮漫堤、养殖网箱破坏风险预警和风暴潮灾害重点防御区风险研判，指导基层加强对沿岸风险区域的巡查，有效减轻了海洋灾害影响。</w:t>
                      </w:r>
                    </w:p>
                  </w:txbxContent>
                </v:textbox>
                <w10:wrap type="none"/>
                <w10:anchorlock/>
              </v:shape>
            </w:pict>
          </mc:Fallback>
        </mc:AlternateContent>
      </w:r>
    </w:p>
    <w:p>
      <w:pPr>
        <w:adjustRightInd w:val="0"/>
        <w:snapToGrid w:val="0"/>
        <w:rPr>
          <w:rFonts w:hint="eastAsia" w:ascii="宋体" w:hAnsi="宋体"/>
          <w:sz w:val="24"/>
          <w:szCs w:val="21"/>
        </w:rPr>
      </w:pPr>
    </w:p>
    <w:p>
      <w:pPr>
        <w:adjustRightInd w:val="0"/>
        <w:snapToGrid w:val="0"/>
        <w:rPr>
          <w:sz w:val="24"/>
          <w:szCs w:val="21"/>
        </w:rPr>
      </w:pPr>
    </w:p>
    <w:p>
      <w:pPr>
        <w:adjustRightInd w:val="0"/>
        <w:snapToGrid w:val="0"/>
        <w:rPr>
          <w:sz w:val="24"/>
          <w:szCs w:val="21"/>
        </w:rPr>
        <w:sectPr>
          <w:footerReference r:id="rId9" w:type="default"/>
          <w:footerReference r:id="rId10" w:type="even"/>
          <w:footnotePr>
            <w:numRestart w:val="eachSect"/>
          </w:footnotePr>
          <w:pgSz w:w="11906" w:h="16838"/>
          <w:pgMar w:top="1418" w:right="1701" w:bottom="1418" w:left="1701" w:header="851" w:footer="992" w:gutter="0"/>
          <w:pgNumType w:start="1"/>
          <w:cols w:space="720" w:num="1"/>
          <w:docGrid w:type="linesAndChars" w:linePitch="312" w:charSpace="0"/>
        </w:sectPr>
      </w:pPr>
    </w:p>
    <w:p>
      <w:pPr>
        <w:pStyle w:val="2"/>
        <w:spacing w:before="0" w:after="0" w:line="240" w:lineRule="auto"/>
        <w:rPr>
          <w:rFonts w:ascii="黑体" w:hAnsi="黑体" w:eastAsia="黑体"/>
        </w:rPr>
      </w:pPr>
      <w:bookmarkStart w:id="9" w:name="_Toc2146679285"/>
      <w:r>
        <w:rPr>
          <w:rFonts w:ascii="黑体" w:hAnsi="黑体" w:eastAsia="黑体"/>
        </w:rPr>
        <w:t>二、风暴潮灾害</w:t>
      </w:r>
      <w:bookmarkEnd w:id="6"/>
      <w:bookmarkEnd w:id="9"/>
    </w:p>
    <w:p>
      <w:pPr>
        <w:pStyle w:val="48"/>
        <w:spacing w:before="156" w:beforeLines="50" w:line="360" w:lineRule="auto"/>
        <w:ind w:firstLine="0" w:firstLineChars="0"/>
        <w:jc w:val="left"/>
        <w:rPr>
          <w:rFonts w:ascii="Times New Roman" w:hAnsi="Times New Roman"/>
          <w:b/>
          <w:sz w:val="36"/>
          <w:szCs w:val="36"/>
        </w:rPr>
      </w:pPr>
      <w:r>
        <w:rPr>
          <w:rFonts w:ascii="Times New Roman" w:hAnsi="宋体"/>
          <w:b/>
          <w:sz w:val="36"/>
          <w:szCs w:val="36"/>
        </w:rPr>
        <w:t>（一）总体灾情</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600" w:firstLineChars="200"/>
        <w:textAlignment w:val="auto"/>
        <w:rPr>
          <w:sz w:val="30"/>
          <w:szCs w:val="30"/>
        </w:rPr>
      </w:pPr>
      <w:r>
        <w:rPr>
          <w:sz w:val="30"/>
          <w:szCs w:val="30"/>
        </w:rPr>
        <w:t>20</w:t>
      </w:r>
      <w:r>
        <w:rPr>
          <w:rFonts w:hint="eastAsia"/>
          <w:sz w:val="30"/>
          <w:szCs w:val="30"/>
        </w:rPr>
        <w:t>22</w:t>
      </w:r>
      <w:r>
        <w:rPr>
          <w:sz w:val="30"/>
          <w:szCs w:val="30"/>
        </w:rPr>
        <w:t>年</w:t>
      </w:r>
      <w:r>
        <w:rPr>
          <w:rFonts w:hint="eastAsia"/>
          <w:sz w:val="30"/>
          <w:szCs w:val="30"/>
        </w:rPr>
        <w:t>，</w:t>
      </w:r>
      <w:r>
        <w:rPr>
          <w:rFonts w:hint="eastAsia"/>
          <w:sz w:val="30"/>
          <w:szCs w:val="30"/>
          <w:lang w:eastAsia="zh-CN"/>
        </w:rPr>
        <w:t>影响</w:t>
      </w:r>
      <w:r>
        <w:rPr>
          <w:rFonts w:hint="eastAsia"/>
          <w:sz w:val="30"/>
          <w:szCs w:val="30"/>
        </w:rPr>
        <w:t>我省</w:t>
      </w:r>
      <w:r>
        <w:rPr>
          <w:rFonts w:hint="eastAsia"/>
          <w:sz w:val="30"/>
          <w:szCs w:val="30"/>
          <w:lang w:eastAsia="zh-CN"/>
        </w:rPr>
        <w:t>海域的热带气旋和冷空气</w:t>
      </w:r>
      <w:r>
        <w:rPr>
          <w:rFonts w:hint="eastAsia"/>
          <w:sz w:val="30"/>
          <w:szCs w:val="30"/>
        </w:rPr>
        <w:t>共</w:t>
      </w:r>
      <w:r>
        <w:rPr>
          <w:rFonts w:hint="eastAsia"/>
          <w:sz w:val="30"/>
          <w:szCs w:val="30"/>
          <w:lang w:eastAsia="zh-CN"/>
        </w:rPr>
        <w:t>引发</w:t>
      </w:r>
      <w:r>
        <w:rPr>
          <w:rFonts w:hint="eastAsia"/>
          <w:sz w:val="30"/>
          <w:szCs w:val="30"/>
        </w:rPr>
        <w:t>风暴潮过程</w:t>
      </w:r>
      <w:r>
        <w:rPr>
          <w:rStyle w:val="28"/>
          <w:rFonts w:ascii="Times New Roman" w:hAnsi="Times New Roman" w:eastAsia="仿宋_GB2312"/>
          <w:sz w:val="32"/>
          <w:szCs w:val="32"/>
        </w:rPr>
        <w:footnoteReference w:id="0" w:customMarkFollows="1"/>
        <w:sym w:font="Symbol" w:char="F02A"/>
      </w:r>
      <w:r>
        <w:rPr>
          <w:rFonts w:hint="eastAsia"/>
          <w:sz w:val="30"/>
          <w:szCs w:val="30"/>
          <w:lang w:val="en-US" w:eastAsia="zh-CN"/>
        </w:rPr>
        <w:t>4</w:t>
      </w:r>
      <w:r>
        <w:rPr>
          <w:rFonts w:hint="eastAsia"/>
          <w:sz w:val="30"/>
          <w:szCs w:val="30"/>
        </w:rPr>
        <w:t>次（台风风暴潮过程</w:t>
      </w:r>
      <w:r>
        <w:rPr>
          <w:rFonts w:hint="eastAsia"/>
          <w:sz w:val="30"/>
          <w:szCs w:val="30"/>
          <w:lang w:val="en-US" w:eastAsia="zh-CN"/>
        </w:rPr>
        <w:t>1</w:t>
      </w:r>
      <w:r>
        <w:rPr>
          <w:rFonts w:hint="eastAsia"/>
          <w:sz w:val="30"/>
          <w:szCs w:val="30"/>
        </w:rPr>
        <w:t>次，温带风暴潮过程3次），其中2212</w:t>
      </w:r>
      <w:r>
        <w:rPr>
          <w:rFonts w:ascii="宋体" w:hAnsi="宋体"/>
          <w:sz w:val="30"/>
          <w:szCs w:val="30"/>
        </w:rPr>
        <w:t>“</w:t>
      </w:r>
      <w:r>
        <w:rPr>
          <w:rFonts w:hint="eastAsia" w:ascii="宋体" w:hAnsi="宋体"/>
          <w:sz w:val="30"/>
          <w:szCs w:val="30"/>
        </w:rPr>
        <w:t>梅花</w:t>
      </w:r>
      <w:r>
        <w:rPr>
          <w:rFonts w:ascii="宋体" w:hAnsi="宋体"/>
          <w:sz w:val="30"/>
          <w:szCs w:val="30"/>
        </w:rPr>
        <w:t>”</w:t>
      </w:r>
      <w:r>
        <w:rPr>
          <w:rFonts w:hAnsi="宋体"/>
          <w:sz w:val="30"/>
          <w:szCs w:val="30"/>
        </w:rPr>
        <w:t>台风风暴潮</w:t>
      </w:r>
      <w:r>
        <w:rPr>
          <w:rFonts w:hint="eastAsia"/>
          <w:sz w:val="30"/>
          <w:szCs w:val="30"/>
        </w:rPr>
        <w:t>过程造成灾害，直接经济损失26 917.79万元，</w:t>
      </w:r>
      <w:r>
        <w:rPr>
          <w:rFonts w:hint="eastAsia" w:ascii="宋体" w:hAnsi="宋体"/>
          <w:sz w:val="30"/>
          <w:szCs w:val="30"/>
        </w:rPr>
        <w:t>未造成</w:t>
      </w:r>
      <w:r>
        <w:rPr>
          <w:rFonts w:hAnsi="宋体"/>
          <w:sz w:val="30"/>
          <w:szCs w:val="30"/>
        </w:rPr>
        <w:t>人员死亡失踪</w:t>
      </w:r>
      <w:r>
        <w:rPr>
          <w:rFonts w:hint="eastAsia" w:hAnsi="宋体"/>
          <w:sz w:val="30"/>
          <w:szCs w:val="30"/>
        </w:rPr>
        <w:t>。</w:t>
      </w:r>
      <w:r>
        <w:rPr>
          <w:rFonts w:hAnsi="宋体"/>
          <w:sz w:val="30"/>
          <w:szCs w:val="30"/>
        </w:rPr>
        <w:t>风暴潮灾害造成的直接经济损失</w:t>
      </w:r>
      <w:r>
        <w:rPr>
          <w:rFonts w:hint="eastAsia" w:hAnsi="宋体"/>
          <w:sz w:val="30"/>
          <w:szCs w:val="30"/>
          <w:lang w:eastAsia="zh-CN"/>
        </w:rPr>
        <w:t>少</w:t>
      </w:r>
      <w:r>
        <w:rPr>
          <w:rFonts w:hint="eastAsia" w:hAnsi="宋体"/>
          <w:sz w:val="30"/>
          <w:szCs w:val="30"/>
        </w:rPr>
        <w:t>于</w:t>
      </w:r>
      <w:r>
        <w:rPr>
          <w:rFonts w:hAnsi="宋体"/>
          <w:sz w:val="30"/>
          <w:szCs w:val="30"/>
        </w:rPr>
        <w:t>前</w:t>
      </w:r>
      <w:r>
        <w:rPr>
          <w:sz w:val="30"/>
          <w:szCs w:val="30"/>
        </w:rPr>
        <w:t>10</w:t>
      </w:r>
      <w:r>
        <w:rPr>
          <w:rFonts w:hAnsi="宋体"/>
          <w:sz w:val="30"/>
          <w:szCs w:val="30"/>
        </w:rPr>
        <w:t>年平均值（</w:t>
      </w:r>
      <w:r>
        <w:rPr>
          <w:rFonts w:hint="eastAsia"/>
          <w:sz w:val="30"/>
          <w:szCs w:val="30"/>
        </w:rPr>
        <w:t>195 507.65万</w:t>
      </w:r>
      <w:r>
        <w:rPr>
          <w:rFonts w:hAnsi="宋体"/>
          <w:sz w:val="30"/>
          <w:szCs w:val="30"/>
        </w:rPr>
        <w:t>元）（见图</w:t>
      </w:r>
      <w:r>
        <w:rPr>
          <w:sz w:val="30"/>
          <w:szCs w:val="30"/>
        </w:rPr>
        <w:t>2</w:t>
      </w:r>
      <w:r>
        <w:rPr>
          <w:rFonts w:hAnsi="宋体"/>
          <w:sz w:val="30"/>
          <w:szCs w:val="30"/>
        </w:rPr>
        <w:t>）</w:t>
      </w:r>
      <w:r>
        <w:rPr>
          <w:rFonts w:hint="eastAsia" w:hAnsi="宋体"/>
          <w:sz w:val="30"/>
          <w:szCs w:val="30"/>
        </w:rPr>
        <w:t>，</w:t>
      </w:r>
      <w:r>
        <w:rPr>
          <w:rFonts w:hint="eastAsia" w:hAnsi="宋体"/>
          <w:sz w:val="30"/>
          <w:szCs w:val="30"/>
          <w:lang w:eastAsia="zh-CN"/>
        </w:rPr>
        <w:t>与</w:t>
      </w:r>
      <w:r>
        <w:rPr>
          <w:rFonts w:hint="eastAsia"/>
          <w:sz w:val="30"/>
          <w:szCs w:val="30"/>
        </w:rPr>
        <w:t>2021年（94 609.70万元）相比，直接经济损失减少72%。</w:t>
      </w:r>
    </w:p>
    <w:p>
      <w:pPr>
        <w:spacing w:line="360" w:lineRule="auto"/>
        <w:jc w:val="center"/>
        <w:rPr>
          <w:rFonts w:hint="eastAsia" w:hAnsi="宋体"/>
          <w:sz w:val="30"/>
          <w:szCs w:val="30"/>
        </w:rPr>
      </w:pPr>
      <w:r>
        <w:rPr>
          <w:rFonts w:hint="eastAsia" w:hAnsi="宋体"/>
          <w:sz w:val="30"/>
          <w:szCs w:val="30"/>
        </w:rPr>
        <w:drawing>
          <wp:inline distT="0" distB="0" distL="114300" distR="114300">
            <wp:extent cx="5346700" cy="3390265"/>
            <wp:effectExtent l="0" t="0" r="6350" b="635"/>
            <wp:docPr id="7" name="图片 34" descr="风暴潮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34" descr="风暴潮2"/>
                    <pic:cNvPicPr>
                      <a:picLocks noChangeAspect="true"/>
                    </pic:cNvPicPr>
                  </pic:nvPicPr>
                  <pic:blipFill>
                    <a:blip r:embed="rId17"/>
                    <a:srcRect l="482" t="4805" r="482" b="5495"/>
                    <a:stretch>
                      <a:fillRect/>
                    </a:stretch>
                  </pic:blipFill>
                  <pic:spPr>
                    <a:xfrm>
                      <a:off x="0" y="0"/>
                      <a:ext cx="5346700" cy="3390265"/>
                    </a:xfrm>
                    <a:prstGeom prst="rect">
                      <a:avLst/>
                    </a:prstGeom>
                    <a:noFill/>
                    <a:ln>
                      <a:noFill/>
                    </a:ln>
                  </pic:spPr>
                </pic:pic>
              </a:graphicData>
            </a:graphic>
          </wp:inline>
        </w:drawing>
      </w:r>
    </w:p>
    <w:p>
      <w:pPr>
        <w:widowControl/>
        <w:jc w:val="center"/>
        <w:rPr>
          <w:sz w:val="24"/>
        </w:rPr>
      </w:pPr>
      <w:r>
        <w:rPr>
          <w:rFonts w:hAnsi="宋体"/>
          <w:sz w:val="24"/>
        </w:rPr>
        <w:t>图</w:t>
      </w:r>
      <w:r>
        <w:rPr>
          <w:sz w:val="24"/>
        </w:rPr>
        <w:t>2  20</w:t>
      </w:r>
      <w:r>
        <w:rPr>
          <w:rFonts w:hint="eastAsia"/>
          <w:sz w:val="24"/>
        </w:rPr>
        <w:t>12</w:t>
      </w:r>
      <w:r>
        <w:rPr>
          <w:rFonts w:hint="eastAsia" w:eastAsia="黑体"/>
          <w:color w:val="000000"/>
          <w:kern w:val="0"/>
          <w:sz w:val="24"/>
          <w:lang w:val="zh-CN"/>
        </w:rPr>
        <w:t>-</w:t>
      </w:r>
      <w:r>
        <w:rPr>
          <w:sz w:val="24"/>
        </w:rPr>
        <w:t>20</w:t>
      </w:r>
      <w:r>
        <w:rPr>
          <w:rFonts w:hint="eastAsia"/>
          <w:sz w:val="24"/>
        </w:rPr>
        <w:t>22</w:t>
      </w:r>
      <w:r>
        <w:rPr>
          <w:rFonts w:hAnsi="宋体"/>
          <w:sz w:val="24"/>
        </w:rPr>
        <w:t>年浙江省风暴潮灾害直接经济损失</w:t>
      </w:r>
    </w:p>
    <w:p>
      <w:pPr>
        <w:spacing w:before="156" w:beforeLines="50" w:after="156" w:afterLines="50" w:line="360" w:lineRule="auto"/>
        <w:ind w:firstLine="600" w:firstLineChars="200"/>
        <w:rPr>
          <w:rFonts w:hAnsi="宋体"/>
          <w:sz w:val="30"/>
          <w:szCs w:val="30"/>
        </w:rPr>
      </w:pPr>
      <w:r>
        <w:rPr>
          <w:sz w:val="30"/>
          <w:szCs w:val="30"/>
        </w:rPr>
        <w:t>20</w:t>
      </w:r>
      <w:r>
        <w:rPr>
          <w:rFonts w:hint="eastAsia"/>
          <w:sz w:val="30"/>
          <w:szCs w:val="30"/>
        </w:rPr>
        <w:t>22</w:t>
      </w:r>
      <w:r>
        <w:rPr>
          <w:rFonts w:hAnsi="宋体"/>
          <w:sz w:val="30"/>
          <w:szCs w:val="30"/>
        </w:rPr>
        <w:t>年</w:t>
      </w:r>
      <w:r>
        <w:rPr>
          <w:rFonts w:hint="eastAsia" w:hAnsi="宋体"/>
          <w:sz w:val="30"/>
          <w:szCs w:val="30"/>
        </w:rPr>
        <w:t>，</w:t>
      </w:r>
      <w:r>
        <w:rPr>
          <w:rFonts w:hAnsi="宋体"/>
          <w:sz w:val="30"/>
          <w:szCs w:val="30"/>
        </w:rPr>
        <w:t>风暴潮灾害损失最多的是</w:t>
      </w:r>
      <w:r>
        <w:rPr>
          <w:rFonts w:hint="eastAsia" w:hAnsi="宋体"/>
          <w:sz w:val="30"/>
          <w:szCs w:val="30"/>
        </w:rPr>
        <w:t>舟山</w:t>
      </w:r>
      <w:r>
        <w:rPr>
          <w:rFonts w:hAnsi="宋体"/>
          <w:sz w:val="30"/>
          <w:szCs w:val="30"/>
        </w:rPr>
        <w:t>市，直接经济损失为</w:t>
      </w:r>
      <w:r>
        <w:rPr>
          <w:rFonts w:hint="eastAsia" w:hAnsi="宋体"/>
          <w:sz w:val="30"/>
          <w:szCs w:val="30"/>
        </w:rPr>
        <w:t>14 847.09万</w:t>
      </w:r>
      <w:r>
        <w:rPr>
          <w:rFonts w:hAnsi="宋体"/>
          <w:sz w:val="30"/>
          <w:szCs w:val="30"/>
        </w:rPr>
        <w:t>元</w:t>
      </w:r>
      <w:r>
        <w:rPr>
          <w:rFonts w:hint="eastAsia" w:hAnsi="宋体"/>
          <w:sz w:val="30"/>
          <w:szCs w:val="30"/>
        </w:rPr>
        <w:t>，占全省总损失的</w:t>
      </w:r>
      <w:r>
        <w:rPr>
          <w:rFonts w:hint="eastAsia" w:hAnsi="宋体"/>
          <w:sz w:val="30"/>
          <w:szCs w:val="30"/>
          <w:lang w:eastAsia="zh"/>
        </w:rPr>
        <w:t>57</w:t>
      </w:r>
      <w:r>
        <w:rPr>
          <w:rFonts w:hint="eastAsia" w:hAnsi="宋体"/>
          <w:sz w:val="30"/>
          <w:szCs w:val="30"/>
        </w:rPr>
        <w:t>%</w:t>
      </w:r>
      <w:r>
        <w:rPr>
          <w:rFonts w:hAnsi="宋体"/>
          <w:sz w:val="30"/>
          <w:szCs w:val="30"/>
        </w:rPr>
        <w:t>；</w:t>
      </w:r>
      <w:r>
        <w:rPr>
          <w:rFonts w:hint="eastAsia" w:hAnsi="宋体"/>
          <w:sz w:val="30"/>
          <w:szCs w:val="30"/>
        </w:rPr>
        <w:t>其次为宁波市</w:t>
      </w:r>
      <w:r>
        <w:rPr>
          <w:rFonts w:hint="eastAsia" w:hAnsi="宋体"/>
          <w:sz w:val="30"/>
          <w:szCs w:val="30"/>
          <w:lang w:eastAsia="zh"/>
        </w:rPr>
        <w:t>11 960.10</w:t>
      </w:r>
      <w:r>
        <w:rPr>
          <w:rFonts w:hint="eastAsia" w:hAnsi="宋体"/>
          <w:sz w:val="30"/>
          <w:szCs w:val="30"/>
        </w:rPr>
        <w:t>万元，台州市</w:t>
      </w:r>
      <w:r>
        <w:rPr>
          <w:rFonts w:hint="eastAsia" w:hAnsi="宋体"/>
          <w:sz w:val="30"/>
          <w:szCs w:val="30"/>
          <w:lang w:eastAsia="zh"/>
        </w:rPr>
        <w:t>110.60</w:t>
      </w:r>
      <w:r>
        <w:rPr>
          <w:rFonts w:hint="eastAsia" w:hAnsi="宋体"/>
          <w:sz w:val="30"/>
          <w:szCs w:val="30"/>
        </w:rPr>
        <w:t>万元</w:t>
      </w:r>
      <w:r>
        <w:rPr>
          <w:rFonts w:hAnsi="宋体"/>
          <w:sz w:val="30"/>
          <w:szCs w:val="30"/>
        </w:rPr>
        <w:t>（见表</w:t>
      </w:r>
      <w:r>
        <w:rPr>
          <w:sz w:val="30"/>
          <w:szCs w:val="30"/>
        </w:rPr>
        <w:t>2</w:t>
      </w:r>
      <w:r>
        <w:rPr>
          <w:rFonts w:hAnsi="宋体"/>
          <w:sz w:val="30"/>
          <w:szCs w:val="30"/>
        </w:rPr>
        <w:t>）</w:t>
      </w:r>
      <w:r>
        <w:rPr>
          <w:rFonts w:hint="eastAsia" w:hAnsi="宋体"/>
          <w:sz w:val="30"/>
          <w:szCs w:val="30"/>
        </w:rPr>
        <w:t>。</w:t>
      </w:r>
    </w:p>
    <w:p>
      <w:pPr>
        <w:spacing w:line="360" w:lineRule="auto"/>
        <w:jc w:val="center"/>
        <w:rPr>
          <w:sz w:val="24"/>
        </w:rPr>
      </w:pPr>
      <w:r>
        <w:rPr>
          <w:sz w:val="24"/>
        </w:rPr>
        <w:t>表2  20</w:t>
      </w:r>
      <w:r>
        <w:rPr>
          <w:rFonts w:hint="eastAsia"/>
          <w:sz w:val="24"/>
        </w:rPr>
        <w:t>22</w:t>
      </w:r>
      <w:r>
        <w:rPr>
          <w:sz w:val="24"/>
        </w:rPr>
        <w:t>年沿海各市风暴潮灾害损失统计</w:t>
      </w:r>
    </w:p>
    <w:tbl>
      <w:tblPr>
        <w:tblStyle w:val="20"/>
        <w:tblW w:w="8750" w:type="dxa"/>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988"/>
        <w:gridCol w:w="696"/>
        <w:gridCol w:w="791"/>
        <w:gridCol w:w="1541"/>
        <w:gridCol w:w="895"/>
        <w:gridCol w:w="921"/>
        <w:gridCol w:w="788"/>
        <w:gridCol w:w="1016"/>
        <w:gridCol w:w="1114"/>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397" w:hRule="exact"/>
          <w:jc w:val="center"/>
        </w:trPr>
        <w:tc>
          <w:tcPr>
            <w:tcW w:w="988" w:type="dxa"/>
            <w:vMerge w:val="restart"/>
            <w:shd w:val="clear" w:color="auto" w:fill="0F76BB"/>
            <w:noWrap w:val="0"/>
            <w:vAlign w:val="center"/>
          </w:tcPr>
          <w:p>
            <w:pPr>
              <w:widowControl/>
              <w:snapToGrid w:val="0"/>
              <w:jc w:val="center"/>
              <w:rPr>
                <w:rFonts w:hint="eastAsia"/>
                <w:b/>
                <w:bCs/>
                <w:color w:val="FFFFFF"/>
                <w:kern w:val="0"/>
                <w:szCs w:val="21"/>
              </w:rPr>
            </w:pPr>
            <w:r>
              <w:rPr>
                <w:rFonts w:hint="eastAsia"/>
                <w:b/>
                <w:bCs/>
                <w:color w:val="FFFFFF"/>
                <w:szCs w:val="21"/>
              </w:rPr>
              <w:t>灾害过程</w:t>
            </w:r>
          </w:p>
        </w:tc>
        <w:tc>
          <w:tcPr>
            <w:tcW w:w="696" w:type="dxa"/>
            <w:vMerge w:val="restart"/>
            <w:shd w:val="clear" w:color="auto" w:fill="0F76BB"/>
            <w:noWrap w:val="0"/>
            <w:vAlign w:val="center"/>
          </w:tcPr>
          <w:p>
            <w:pPr>
              <w:widowControl/>
              <w:snapToGrid w:val="0"/>
              <w:jc w:val="center"/>
              <w:rPr>
                <w:b/>
                <w:bCs/>
                <w:color w:val="FFFFFF"/>
                <w:kern w:val="0"/>
                <w:szCs w:val="21"/>
              </w:rPr>
            </w:pPr>
            <w:r>
              <w:rPr>
                <w:b/>
                <w:bCs/>
                <w:color w:val="FFFFFF"/>
                <w:szCs w:val="21"/>
              </w:rPr>
              <w:t>市</w:t>
            </w:r>
          </w:p>
        </w:tc>
        <w:tc>
          <w:tcPr>
            <w:tcW w:w="791" w:type="dxa"/>
            <w:vMerge w:val="restart"/>
            <w:shd w:val="clear" w:color="auto" w:fill="0F76BB"/>
            <w:noWrap w:val="0"/>
            <w:vAlign w:val="center"/>
          </w:tcPr>
          <w:p>
            <w:pPr>
              <w:widowControl/>
              <w:snapToGrid w:val="0"/>
              <w:jc w:val="center"/>
              <w:rPr>
                <w:b/>
                <w:bCs/>
                <w:color w:val="FFFFFF"/>
                <w:kern w:val="0"/>
                <w:szCs w:val="21"/>
              </w:rPr>
            </w:pPr>
            <w:r>
              <w:rPr>
                <w:b/>
                <w:bCs/>
                <w:color w:val="FFFFFF"/>
                <w:kern w:val="0"/>
                <w:szCs w:val="21"/>
              </w:rPr>
              <w:t>死亡</w:t>
            </w:r>
          </w:p>
          <w:p>
            <w:pPr>
              <w:widowControl/>
              <w:snapToGrid w:val="0"/>
              <w:jc w:val="center"/>
              <w:rPr>
                <w:b/>
                <w:bCs/>
                <w:color w:val="FFFFFF"/>
                <w:kern w:val="0"/>
                <w:szCs w:val="21"/>
              </w:rPr>
            </w:pPr>
            <w:r>
              <w:rPr>
                <w:b/>
                <w:bCs/>
                <w:color w:val="FFFFFF"/>
                <w:kern w:val="0"/>
                <w:szCs w:val="21"/>
              </w:rPr>
              <w:t>失踪</w:t>
            </w:r>
          </w:p>
          <w:p>
            <w:pPr>
              <w:snapToGrid w:val="0"/>
              <w:jc w:val="center"/>
              <w:rPr>
                <w:rFonts w:hint="eastAsia"/>
                <w:b/>
                <w:bCs/>
                <w:color w:val="FFFFFF"/>
                <w:kern w:val="0"/>
                <w:szCs w:val="21"/>
              </w:rPr>
            </w:pPr>
            <w:r>
              <w:rPr>
                <w:b/>
                <w:bCs/>
                <w:color w:val="FFFFFF"/>
                <w:kern w:val="0"/>
                <w:szCs w:val="21"/>
              </w:rPr>
              <w:t>人</w:t>
            </w:r>
            <w:r>
              <w:rPr>
                <w:rFonts w:hint="eastAsia"/>
                <w:b/>
                <w:bCs/>
                <w:color w:val="FFFFFF"/>
                <w:kern w:val="0"/>
                <w:szCs w:val="21"/>
              </w:rPr>
              <w:t>口</w:t>
            </w:r>
          </w:p>
          <w:p>
            <w:pPr>
              <w:snapToGrid w:val="0"/>
              <w:jc w:val="center"/>
              <w:rPr>
                <w:b/>
                <w:bCs/>
                <w:color w:val="FFFFFF"/>
                <w:kern w:val="0"/>
                <w:szCs w:val="21"/>
              </w:rPr>
            </w:pPr>
            <w:r>
              <w:rPr>
                <w:rFonts w:hint="eastAsia"/>
                <w:b/>
                <w:bCs/>
                <w:color w:val="FFFFFF"/>
                <w:kern w:val="0"/>
                <w:szCs w:val="21"/>
              </w:rPr>
              <w:t>（人）</w:t>
            </w:r>
          </w:p>
        </w:tc>
        <w:tc>
          <w:tcPr>
            <w:tcW w:w="1541" w:type="dxa"/>
            <w:tcBorders>
              <w:bottom w:val="single" w:color="FFFFFF" w:sz="6" w:space="0"/>
            </w:tcBorders>
            <w:shd w:val="clear" w:color="auto" w:fill="0F76BB"/>
            <w:noWrap w:val="0"/>
            <w:vAlign w:val="center"/>
          </w:tcPr>
          <w:p>
            <w:pPr>
              <w:widowControl/>
              <w:snapToGrid w:val="0"/>
              <w:jc w:val="center"/>
              <w:rPr>
                <w:b/>
                <w:bCs/>
                <w:color w:val="FFFFFF"/>
                <w:kern w:val="0"/>
                <w:szCs w:val="21"/>
              </w:rPr>
            </w:pPr>
            <w:r>
              <w:rPr>
                <w:b/>
                <w:bCs/>
                <w:color w:val="FFFFFF"/>
                <w:kern w:val="0"/>
                <w:szCs w:val="21"/>
              </w:rPr>
              <w:t>水产养殖损失</w:t>
            </w:r>
          </w:p>
        </w:tc>
        <w:tc>
          <w:tcPr>
            <w:tcW w:w="3620" w:type="dxa"/>
            <w:gridSpan w:val="4"/>
            <w:tcBorders>
              <w:bottom w:val="single" w:color="FFFFFF" w:sz="6" w:space="0"/>
            </w:tcBorders>
            <w:shd w:val="clear" w:color="auto" w:fill="0F76BB"/>
            <w:noWrap w:val="0"/>
            <w:vAlign w:val="center"/>
          </w:tcPr>
          <w:p>
            <w:pPr>
              <w:snapToGrid w:val="0"/>
              <w:jc w:val="center"/>
              <w:rPr>
                <w:b/>
                <w:bCs/>
                <w:color w:val="FFFFFF"/>
                <w:kern w:val="0"/>
                <w:szCs w:val="21"/>
              </w:rPr>
            </w:pPr>
            <w:r>
              <w:rPr>
                <w:b/>
                <w:bCs/>
                <w:color w:val="FFFFFF"/>
                <w:kern w:val="0"/>
                <w:szCs w:val="21"/>
              </w:rPr>
              <w:t>设施损毁</w:t>
            </w:r>
          </w:p>
        </w:tc>
        <w:tc>
          <w:tcPr>
            <w:tcW w:w="1114" w:type="dxa"/>
            <w:vMerge w:val="restart"/>
            <w:shd w:val="clear" w:color="auto" w:fill="0F76BB"/>
            <w:noWrap w:val="0"/>
            <w:vAlign w:val="center"/>
          </w:tcPr>
          <w:p>
            <w:pPr>
              <w:widowControl/>
              <w:snapToGrid w:val="0"/>
              <w:jc w:val="center"/>
              <w:rPr>
                <w:b/>
                <w:bCs/>
                <w:color w:val="FFFFFF"/>
                <w:kern w:val="0"/>
                <w:szCs w:val="21"/>
              </w:rPr>
            </w:pPr>
            <w:r>
              <w:rPr>
                <w:b/>
                <w:bCs/>
                <w:color w:val="FFFFFF"/>
                <w:kern w:val="0"/>
                <w:szCs w:val="21"/>
              </w:rPr>
              <w:t>直接经</w:t>
            </w:r>
          </w:p>
          <w:p>
            <w:pPr>
              <w:widowControl/>
              <w:snapToGrid w:val="0"/>
              <w:jc w:val="center"/>
              <w:rPr>
                <w:b/>
                <w:bCs/>
                <w:color w:val="FFFFFF"/>
                <w:kern w:val="0"/>
                <w:szCs w:val="21"/>
              </w:rPr>
            </w:pPr>
            <w:r>
              <w:rPr>
                <w:b/>
                <w:bCs/>
                <w:color w:val="FFFFFF"/>
                <w:kern w:val="0"/>
                <w:szCs w:val="21"/>
              </w:rPr>
              <w:t>济损失</w:t>
            </w:r>
          </w:p>
          <w:p>
            <w:pPr>
              <w:widowControl/>
              <w:snapToGrid w:val="0"/>
              <w:jc w:val="center"/>
              <w:rPr>
                <w:b/>
                <w:bCs/>
                <w:color w:val="FFFFFF"/>
                <w:kern w:val="0"/>
                <w:szCs w:val="21"/>
              </w:rPr>
            </w:pPr>
            <w:r>
              <w:rPr>
                <w:b/>
                <w:bCs/>
                <w:color w:val="FFFFFF"/>
                <w:kern w:val="0"/>
                <w:szCs w:val="21"/>
              </w:rPr>
              <w:t>（万元）</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910" w:hRule="exact"/>
          <w:jc w:val="center"/>
        </w:trPr>
        <w:tc>
          <w:tcPr>
            <w:tcW w:w="988" w:type="dxa"/>
            <w:vMerge w:val="continue"/>
            <w:tcBorders>
              <w:bottom w:val="single" w:color="FFFFFF" w:sz="6" w:space="0"/>
            </w:tcBorders>
            <w:shd w:val="clear" w:color="auto" w:fill="0F76BB"/>
            <w:noWrap w:val="0"/>
            <w:vAlign w:val="center"/>
          </w:tcPr>
          <w:p>
            <w:pPr>
              <w:widowControl/>
              <w:snapToGrid w:val="0"/>
              <w:jc w:val="left"/>
              <w:rPr>
                <w:bCs/>
                <w:kern w:val="0"/>
                <w:szCs w:val="21"/>
              </w:rPr>
            </w:pPr>
          </w:p>
        </w:tc>
        <w:tc>
          <w:tcPr>
            <w:tcW w:w="696" w:type="dxa"/>
            <w:vMerge w:val="continue"/>
            <w:tcBorders>
              <w:bottom w:val="single" w:color="FFFFFF" w:sz="6" w:space="0"/>
            </w:tcBorders>
            <w:shd w:val="clear" w:color="auto" w:fill="0F76BB"/>
            <w:noWrap w:val="0"/>
            <w:vAlign w:val="center"/>
          </w:tcPr>
          <w:p>
            <w:pPr>
              <w:widowControl/>
              <w:snapToGrid w:val="0"/>
              <w:jc w:val="left"/>
              <w:rPr>
                <w:bCs/>
                <w:kern w:val="0"/>
                <w:szCs w:val="21"/>
              </w:rPr>
            </w:pPr>
          </w:p>
        </w:tc>
        <w:tc>
          <w:tcPr>
            <w:tcW w:w="791" w:type="dxa"/>
            <w:vMerge w:val="continue"/>
            <w:tcBorders>
              <w:bottom w:val="single" w:color="FFFFFF" w:sz="6" w:space="0"/>
            </w:tcBorders>
            <w:shd w:val="clear" w:color="auto" w:fill="0F76BB"/>
            <w:noWrap w:val="0"/>
            <w:vAlign w:val="center"/>
          </w:tcPr>
          <w:p>
            <w:pPr>
              <w:widowControl/>
              <w:snapToGrid w:val="0"/>
              <w:jc w:val="center"/>
              <w:rPr>
                <w:kern w:val="0"/>
                <w:szCs w:val="21"/>
              </w:rPr>
            </w:pPr>
          </w:p>
        </w:tc>
        <w:tc>
          <w:tcPr>
            <w:tcW w:w="1541" w:type="dxa"/>
            <w:tcBorders>
              <w:bottom w:val="single" w:color="FFFFFF" w:sz="6" w:space="0"/>
            </w:tcBorders>
            <w:shd w:val="clear" w:color="auto" w:fill="0F76BB"/>
            <w:noWrap w:val="0"/>
            <w:vAlign w:val="center"/>
          </w:tcPr>
          <w:p>
            <w:pPr>
              <w:widowControl/>
              <w:snapToGrid w:val="0"/>
              <w:jc w:val="center"/>
              <w:rPr>
                <w:b/>
                <w:bCs/>
                <w:color w:val="FFFFFF"/>
                <w:kern w:val="0"/>
                <w:szCs w:val="21"/>
              </w:rPr>
            </w:pPr>
            <w:r>
              <w:rPr>
                <w:b/>
                <w:bCs/>
                <w:color w:val="FFFFFF"/>
                <w:kern w:val="0"/>
                <w:szCs w:val="21"/>
              </w:rPr>
              <w:t>受灾面积</w:t>
            </w:r>
          </w:p>
          <w:p>
            <w:pPr>
              <w:widowControl/>
              <w:snapToGrid w:val="0"/>
              <w:jc w:val="center"/>
              <w:rPr>
                <w:b/>
                <w:bCs/>
                <w:color w:val="FFFFFF"/>
                <w:kern w:val="0"/>
                <w:szCs w:val="21"/>
              </w:rPr>
            </w:pPr>
            <w:r>
              <w:rPr>
                <w:b/>
                <w:bCs/>
                <w:color w:val="FFFFFF"/>
                <w:kern w:val="0"/>
                <w:szCs w:val="21"/>
              </w:rPr>
              <w:t>（</w:t>
            </w:r>
            <w:r>
              <w:rPr>
                <w:rFonts w:hint="eastAsia"/>
                <w:b/>
                <w:bCs/>
                <w:color w:val="FFFFFF"/>
                <w:kern w:val="0"/>
                <w:szCs w:val="21"/>
              </w:rPr>
              <w:t>公顷</w:t>
            </w:r>
            <w:r>
              <w:rPr>
                <w:b/>
                <w:bCs/>
                <w:color w:val="FFFFFF"/>
                <w:kern w:val="0"/>
                <w:szCs w:val="21"/>
              </w:rPr>
              <w:t>）</w:t>
            </w:r>
          </w:p>
        </w:tc>
        <w:tc>
          <w:tcPr>
            <w:tcW w:w="895" w:type="dxa"/>
            <w:tcBorders>
              <w:bottom w:val="single" w:color="FFFFFF" w:sz="6" w:space="0"/>
              <w:right w:val="single" w:color="FFFFFF" w:sz="6" w:space="0"/>
            </w:tcBorders>
            <w:shd w:val="clear" w:color="auto" w:fill="0F76BB"/>
            <w:noWrap w:val="0"/>
            <w:vAlign w:val="center"/>
          </w:tcPr>
          <w:p>
            <w:pPr>
              <w:widowControl/>
              <w:snapToGrid w:val="0"/>
              <w:jc w:val="center"/>
              <w:rPr>
                <w:rFonts w:hint="eastAsia"/>
                <w:b/>
                <w:bCs/>
                <w:color w:val="FFFFFF"/>
                <w:kern w:val="0"/>
                <w:szCs w:val="21"/>
              </w:rPr>
            </w:pPr>
            <w:r>
              <w:rPr>
                <w:rFonts w:hint="eastAsia"/>
                <w:b/>
                <w:bCs/>
                <w:color w:val="FFFFFF"/>
                <w:kern w:val="0"/>
                <w:szCs w:val="21"/>
              </w:rPr>
              <w:t>房屋损坏</w:t>
            </w:r>
          </w:p>
          <w:p>
            <w:pPr>
              <w:widowControl/>
              <w:snapToGrid w:val="0"/>
              <w:jc w:val="center"/>
              <w:rPr>
                <w:rFonts w:hint="eastAsia"/>
                <w:b/>
                <w:bCs/>
                <w:color w:val="FFFFFF"/>
                <w:kern w:val="0"/>
                <w:szCs w:val="21"/>
              </w:rPr>
            </w:pPr>
            <w:r>
              <w:rPr>
                <w:rFonts w:hint="eastAsia"/>
                <w:b/>
                <w:bCs/>
                <w:color w:val="FFFFFF"/>
                <w:kern w:val="0"/>
                <w:szCs w:val="21"/>
              </w:rPr>
              <w:t>（间）</w:t>
            </w:r>
          </w:p>
        </w:tc>
        <w:tc>
          <w:tcPr>
            <w:tcW w:w="921" w:type="dxa"/>
            <w:tcBorders>
              <w:bottom w:val="single" w:color="FFFFFF" w:sz="6" w:space="0"/>
              <w:right w:val="single" w:color="FFFFFF" w:sz="6" w:space="0"/>
            </w:tcBorders>
            <w:shd w:val="clear" w:color="auto" w:fill="0F76BB"/>
            <w:noWrap w:val="0"/>
            <w:vAlign w:val="center"/>
          </w:tcPr>
          <w:p>
            <w:pPr>
              <w:widowControl/>
              <w:snapToGrid w:val="0"/>
              <w:jc w:val="center"/>
              <w:rPr>
                <w:b/>
                <w:bCs/>
                <w:color w:val="FFFFFF"/>
                <w:kern w:val="0"/>
                <w:szCs w:val="21"/>
              </w:rPr>
            </w:pPr>
            <w:r>
              <w:rPr>
                <w:b/>
                <w:bCs/>
                <w:color w:val="FFFFFF"/>
                <w:kern w:val="0"/>
                <w:szCs w:val="21"/>
              </w:rPr>
              <w:t>海岸工程（</w:t>
            </w:r>
            <w:r>
              <w:rPr>
                <w:rFonts w:hint="eastAsia"/>
                <w:b/>
                <w:bCs/>
                <w:color w:val="FFFFFF"/>
                <w:kern w:val="0"/>
                <w:szCs w:val="21"/>
              </w:rPr>
              <w:t>米</w:t>
            </w:r>
            <w:r>
              <w:rPr>
                <w:b/>
                <w:bCs/>
                <w:color w:val="FFFFFF"/>
                <w:kern w:val="0"/>
                <w:szCs w:val="21"/>
              </w:rPr>
              <w:t>）</w:t>
            </w:r>
          </w:p>
        </w:tc>
        <w:tc>
          <w:tcPr>
            <w:tcW w:w="788" w:type="dxa"/>
            <w:tcBorders>
              <w:left w:val="single" w:color="FFFFFF" w:sz="6" w:space="0"/>
              <w:bottom w:val="single" w:color="FFFFFF" w:sz="6" w:space="0"/>
              <w:right w:val="single" w:color="FFFFFF" w:sz="4" w:space="0"/>
            </w:tcBorders>
            <w:shd w:val="clear" w:color="auto" w:fill="0F76BB"/>
            <w:noWrap w:val="0"/>
            <w:vAlign w:val="center"/>
          </w:tcPr>
          <w:p>
            <w:pPr>
              <w:widowControl/>
              <w:snapToGrid w:val="0"/>
              <w:jc w:val="center"/>
              <w:rPr>
                <w:b/>
                <w:bCs/>
                <w:color w:val="FFFFFF"/>
                <w:kern w:val="0"/>
                <w:szCs w:val="21"/>
              </w:rPr>
            </w:pPr>
            <w:r>
              <w:rPr>
                <w:rFonts w:hint="eastAsia"/>
                <w:b/>
                <w:bCs/>
                <w:color w:val="FFFFFF"/>
                <w:kern w:val="0"/>
                <w:szCs w:val="21"/>
              </w:rPr>
              <w:t>渔港码头损坏（座）</w:t>
            </w:r>
          </w:p>
        </w:tc>
        <w:tc>
          <w:tcPr>
            <w:tcW w:w="1016" w:type="dxa"/>
            <w:tcBorders>
              <w:left w:val="single" w:color="FFFFFF" w:sz="4" w:space="0"/>
              <w:bottom w:val="single" w:color="FFFFFF" w:sz="6" w:space="0"/>
            </w:tcBorders>
            <w:shd w:val="clear" w:color="auto" w:fill="0F76BB"/>
            <w:noWrap w:val="0"/>
            <w:vAlign w:val="center"/>
          </w:tcPr>
          <w:p>
            <w:pPr>
              <w:widowControl/>
              <w:snapToGrid w:val="0"/>
              <w:jc w:val="center"/>
              <w:rPr>
                <w:b/>
                <w:bCs/>
                <w:color w:val="FFFFFF"/>
                <w:kern w:val="0"/>
                <w:szCs w:val="21"/>
              </w:rPr>
            </w:pPr>
            <w:r>
              <w:rPr>
                <w:b/>
                <w:bCs/>
                <w:color w:val="FFFFFF"/>
                <w:kern w:val="0"/>
                <w:szCs w:val="21"/>
              </w:rPr>
              <w:t>船只</w:t>
            </w:r>
          </w:p>
          <w:p>
            <w:pPr>
              <w:widowControl/>
              <w:snapToGrid w:val="0"/>
              <w:jc w:val="center"/>
              <w:rPr>
                <w:rFonts w:hint="eastAsia"/>
                <w:b/>
                <w:bCs/>
                <w:color w:val="FFFFFF"/>
                <w:kern w:val="0"/>
                <w:szCs w:val="21"/>
              </w:rPr>
            </w:pPr>
            <w:r>
              <w:rPr>
                <w:rFonts w:hint="eastAsia"/>
                <w:b/>
                <w:bCs/>
                <w:color w:val="FFFFFF"/>
                <w:kern w:val="0"/>
                <w:szCs w:val="21"/>
              </w:rPr>
              <w:t>损坏</w:t>
            </w:r>
          </w:p>
          <w:p>
            <w:pPr>
              <w:widowControl/>
              <w:snapToGrid w:val="0"/>
              <w:jc w:val="center"/>
              <w:rPr>
                <w:b/>
                <w:bCs/>
                <w:color w:val="FFFFFF"/>
                <w:kern w:val="0"/>
                <w:szCs w:val="21"/>
              </w:rPr>
            </w:pPr>
            <w:r>
              <w:rPr>
                <w:b/>
                <w:bCs/>
                <w:color w:val="FFFFFF"/>
                <w:kern w:val="0"/>
                <w:szCs w:val="21"/>
              </w:rPr>
              <w:t>（艘）</w:t>
            </w:r>
          </w:p>
        </w:tc>
        <w:tc>
          <w:tcPr>
            <w:tcW w:w="1114" w:type="dxa"/>
            <w:vMerge w:val="continue"/>
            <w:tcBorders>
              <w:bottom w:val="single" w:color="FFFFFF" w:sz="6" w:space="0"/>
            </w:tcBorders>
            <w:shd w:val="clear" w:color="auto" w:fill="0F76BB"/>
            <w:noWrap w:val="0"/>
            <w:vAlign w:val="center"/>
          </w:tcPr>
          <w:p>
            <w:pPr>
              <w:widowControl/>
              <w:snapToGrid w:val="0"/>
              <w:jc w:val="left"/>
              <w:rPr>
                <w:kern w:val="0"/>
                <w:szCs w:val="21"/>
              </w:rPr>
            </w:pP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988" w:type="dxa"/>
            <w:vMerge w:val="restart"/>
            <w:shd w:val="clear" w:color="auto" w:fill="B9E6FB"/>
            <w:noWrap w:val="0"/>
            <w:vAlign w:val="center"/>
          </w:tcPr>
          <w:p>
            <w:pPr>
              <w:jc w:val="center"/>
              <w:rPr>
                <w:rFonts w:hint="eastAsia"/>
                <w:szCs w:val="21"/>
              </w:rPr>
            </w:pPr>
            <w:r>
              <w:rPr>
                <w:rFonts w:hint="eastAsia"/>
                <w:szCs w:val="21"/>
              </w:rPr>
              <w:t>2212</w:t>
            </w:r>
          </w:p>
          <w:p>
            <w:pPr>
              <w:jc w:val="center"/>
              <w:rPr>
                <w:rFonts w:hint="eastAsia"/>
                <w:szCs w:val="21"/>
              </w:rPr>
            </w:pPr>
            <w:r>
              <w:rPr>
                <w:rFonts w:hint="eastAsia"/>
                <w:szCs w:val="21"/>
              </w:rPr>
              <w:t>“梅花”台风</w:t>
            </w:r>
          </w:p>
          <w:p>
            <w:pPr>
              <w:jc w:val="center"/>
              <w:rPr>
                <w:szCs w:val="21"/>
              </w:rPr>
            </w:pPr>
            <w:r>
              <w:rPr>
                <w:rFonts w:hint="eastAsia"/>
                <w:szCs w:val="21"/>
              </w:rPr>
              <w:t>风暴潮</w:t>
            </w:r>
          </w:p>
        </w:tc>
        <w:tc>
          <w:tcPr>
            <w:tcW w:w="696"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嘉兴</w:t>
            </w:r>
          </w:p>
        </w:tc>
        <w:tc>
          <w:tcPr>
            <w:tcW w:w="791" w:type="dxa"/>
            <w:tcBorders>
              <w:bottom w:val="single" w:color="FFFFFF" w:sz="6" w:space="0"/>
            </w:tcBorders>
            <w:shd w:val="clear" w:color="auto" w:fill="B9E6FB"/>
            <w:noWrap w:val="0"/>
            <w:vAlign w:val="center"/>
          </w:tcPr>
          <w:p>
            <w:pPr>
              <w:jc w:val="center"/>
              <w:rPr>
                <w:color w:val="000000"/>
                <w:szCs w:val="21"/>
              </w:rPr>
            </w:pPr>
            <w:r>
              <w:rPr>
                <w:rFonts w:hint="eastAsia"/>
                <w:color w:val="000000"/>
                <w:szCs w:val="21"/>
              </w:rPr>
              <w:t>0</w:t>
            </w:r>
          </w:p>
        </w:tc>
        <w:tc>
          <w:tcPr>
            <w:tcW w:w="1541" w:type="dxa"/>
            <w:tcBorders>
              <w:bottom w:val="single" w:color="FFFFFF" w:sz="6" w:space="0"/>
            </w:tcBorders>
            <w:shd w:val="clear" w:color="auto" w:fill="B9E6FB"/>
            <w:noWrap w:val="0"/>
            <w:vAlign w:val="center"/>
          </w:tcPr>
          <w:p>
            <w:pPr>
              <w:adjustRightInd w:val="0"/>
              <w:snapToGrid w:val="0"/>
              <w:ind w:right="210" w:rightChars="100"/>
              <w:jc w:val="right"/>
              <w:rPr>
                <w:szCs w:val="21"/>
              </w:rPr>
            </w:pPr>
            <w:r>
              <w:rPr>
                <w:rFonts w:hint="eastAsia"/>
                <w:szCs w:val="21"/>
              </w:rPr>
              <w:t>0</w:t>
            </w:r>
          </w:p>
        </w:tc>
        <w:tc>
          <w:tcPr>
            <w:tcW w:w="895"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rFonts w:hint="eastAsia"/>
                <w:color w:val="000000"/>
                <w:szCs w:val="21"/>
              </w:rPr>
            </w:pPr>
            <w:r>
              <w:rPr>
                <w:rFonts w:hint="eastAsia"/>
                <w:color w:val="000000"/>
                <w:szCs w:val="21"/>
              </w:rPr>
              <w:t>0</w:t>
            </w:r>
          </w:p>
        </w:tc>
        <w:tc>
          <w:tcPr>
            <w:tcW w:w="921"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rFonts w:hint="eastAsia"/>
                <w:color w:val="000000"/>
                <w:szCs w:val="21"/>
              </w:rPr>
            </w:pPr>
            <w:r>
              <w:rPr>
                <w:rFonts w:hint="eastAsia"/>
                <w:color w:val="000000"/>
                <w:szCs w:val="21"/>
              </w:rPr>
              <w:t>0</w:t>
            </w:r>
          </w:p>
        </w:tc>
        <w:tc>
          <w:tcPr>
            <w:tcW w:w="788" w:type="dxa"/>
            <w:tcBorders>
              <w:left w:val="single" w:color="FFFFFF" w:sz="6" w:space="0"/>
              <w:bottom w:val="single" w:color="FFFFFF" w:sz="6" w:space="0"/>
              <w:right w:val="single" w:color="FFFFFF" w:sz="4" w:space="0"/>
            </w:tcBorders>
            <w:shd w:val="clear" w:color="auto" w:fill="B9E6FB"/>
            <w:noWrap w:val="0"/>
            <w:vAlign w:val="center"/>
          </w:tcPr>
          <w:p>
            <w:pPr>
              <w:adjustRightInd w:val="0"/>
              <w:snapToGrid w:val="0"/>
              <w:ind w:right="210" w:rightChars="100"/>
              <w:jc w:val="right"/>
              <w:rPr>
                <w:color w:val="000000"/>
                <w:szCs w:val="21"/>
              </w:rPr>
            </w:pPr>
            <w:r>
              <w:rPr>
                <w:rFonts w:hint="eastAsia"/>
                <w:color w:val="000000"/>
                <w:szCs w:val="21"/>
              </w:rPr>
              <w:t>0</w:t>
            </w:r>
          </w:p>
        </w:tc>
        <w:tc>
          <w:tcPr>
            <w:tcW w:w="1016" w:type="dxa"/>
            <w:tcBorders>
              <w:left w:val="single" w:color="FFFFFF" w:sz="4" w:space="0"/>
              <w:bottom w:val="single" w:color="FFFFFF" w:sz="6" w:space="0"/>
            </w:tcBorders>
            <w:shd w:val="clear" w:color="auto" w:fill="B9E6FB"/>
            <w:noWrap w:val="0"/>
            <w:vAlign w:val="center"/>
          </w:tcPr>
          <w:p>
            <w:pPr>
              <w:adjustRightInd w:val="0"/>
              <w:snapToGrid w:val="0"/>
              <w:ind w:right="210" w:rightChars="100"/>
              <w:jc w:val="right"/>
              <w:rPr>
                <w:color w:val="000000"/>
                <w:szCs w:val="21"/>
              </w:rPr>
            </w:pPr>
            <w:r>
              <w:rPr>
                <w:rFonts w:hint="eastAsia"/>
                <w:color w:val="000000"/>
                <w:szCs w:val="21"/>
              </w:rPr>
              <w:t>0</w:t>
            </w:r>
          </w:p>
        </w:tc>
        <w:tc>
          <w:tcPr>
            <w:tcW w:w="1114" w:type="dxa"/>
            <w:tcBorders>
              <w:bottom w:val="single" w:color="FFFFFF" w:sz="6" w:space="0"/>
            </w:tcBorders>
            <w:shd w:val="clear" w:color="auto" w:fill="B9E6FB"/>
            <w:noWrap w:val="0"/>
            <w:vAlign w:val="center"/>
          </w:tcPr>
          <w:p>
            <w:pPr>
              <w:adjustRightInd w:val="0"/>
              <w:snapToGrid w:val="0"/>
              <w:ind w:right="147" w:rightChars="70"/>
              <w:jc w:val="right"/>
              <w:rPr>
                <w:color w:val="000000"/>
                <w:szCs w:val="21"/>
              </w:rPr>
            </w:pPr>
            <w:r>
              <w:rPr>
                <w:rFonts w:hint="eastAsia" w:ascii="微软雅黑" w:hAnsi="微软雅黑" w:eastAsia="微软雅黑"/>
                <w:sz w:val="21"/>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Ex>
        <w:trPr>
          <w:trHeight w:val="482" w:hRule="exact"/>
          <w:jc w:val="center"/>
        </w:trPr>
        <w:tc>
          <w:tcPr>
            <w:tcW w:w="988" w:type="dxa"/>
            <w:vMerge w:val="continue"/>
            <w:shd w:val="clear" w:color="auto" w:fill="B9E6FB"/>
            <w:noWrap w:val="0"/>
            <w:vAlign w:val="center"/>
          </w:tcPr>
          <w:p>
            <w:pPr>
              <w:jc w:val="center"/>
              <w:rPr>
                <w:rFonts w:hint="eastAsia"/>
                <w:szCs w:val="21"/>
              </w:rPr>
            </w:pPr>
          </w:p>
        </w:tc>
        <w:tc>
          <w:tcPr>
            <w:tcW w:w="696"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舟山</w:t>
            </w:r>
          </w:p>
        </w:tc>
        <w:tc>
          <w:tcPr>
            <w:tcW w:w="791" w:type="dxa"/>
            <w:tcBorders>
              <w:bottom w:val="single" w:color="FFFFFF" w:sz="6" w:space="0"/>
            </w:tcBorders>
            <w:shd w:val="clear" w:color="auto" w:fill="B9E6FB"/>
            <w:noWrap w:val="0"/>
            <w:vAlign w:val="center"/>
          </w:tcPr>
          <w:p>
            <w:pPr>
              <w:jc w:val="center"/>
              <w:rPr>
                <w:rFonts w:hint="eastAsia"/>
                <w:color w:val="000000"/>
                <w:szCs w:val="21"/>
              </w:rPr>
            </w:pPr>
            <w:r>
              <w:rPr>
                <w:rFonts w:hint="eastAsia"/>
                <w:color w:val="000000"/>
                <w:szCs w:val="21"/>
              </w:rPr>
              <w:t>0</w:t>
            </w:r>
          </w:p>
        </w:tc>
        <w:tc>
          <w:tcPr>
            <w:tcW w:w="1541" w:type="dxa"/>
            <w:tcBorders>
              <w:bottom w:val="single" w:color="FFFFFF" w:sz="6" w:space="0"/>
            </w:tcBorders>
            <w:shd w:val="clear" w:color="auto" w:fill="B9E6FB"/>
            <w:noWrap w:val="0"/>
            <w:vAlign w:val="center"/>
          </w:tcPr>
          <w:p>
            <w:pPr>
              <w:adjustRightInd w:val="0"/>
              <w:snapToGrid w:val="0"/>
              <w:ind w:right="210" w:rightChars="100"/>
              <w:jc w:val="right"/>
              <w:rPr>
                <w:szCs w:val="21"/>
              </w:rPr>
            </w:pPr>
            <w:r>
              <w:rPr>
                <w:rFonts w:hint="eastAsia"/>
                <w:szCs w:val="21"/>
              </w:rPr>
              <w:t>2 115.27</w:t>
            </w:r>
          </w:p>
        </w:tc>
        <w:tc>
          <w:tcPr>
            <w:tcW w:w="895"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color w:val="000000"/>
                <w:szCs w:val="21"/>
              </w:rPr>
            </w:pPr>
            <w:r>
              <w:rPr>
                <w:rFonts w:hint="eastAsia"/>
                <w:color w:val="000000"/>
                <w:szCs w:val="21"/>
              </w:rPr>
              <w:t>0</w:t>
            </w:r>
          </w:p>
        </w:tc>
        <w:tc>
          <w:tcPr>
            <w:tcW w:w="921"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rFonts w:hint="eastAsia"/>
                <w:color w:val="000000"/>
                <w:szCs w:val="21"/>
              </w:rPr>
            </w:pPr>
            <w:r>
              <w:rPr>
                <w:rFonts w:hint="eastAsia"/>
                <w:color w:val="000000"/>
                <w:szCs w:val="21"/>
              </w:rPr>
              <w:t>455</w:t>
            </w:r>
          </w:p>
        </w:tc>
        <w:tc>
          <w:tcPr>
            <w:tcW w:w="788" w:type="dxa"/>
            <w:tcBorders>
              <w:left w:val="single" w:color="FFFFFF" w:sz="6" w:space="0"/>
              <w:bottom w:val="single" w:color="FFFFFF" w:sz="6" w:space="0"/>
              <w:right w:val="single" w:color="FFFFFF" w:sz="4" w:space="0"/>
            </w:tcBorders>
            <w:shd w:val="clear" w:color="auto" w:fill="B9E6FB"/>
            <w:noWrap w:val="0"/>
            <w:vAlign w:val="center"/>
          </w:tcPr>
          <w:p>
            <w:pPr>
              <w:adjustRightInd w:val="0"/>
              <w:snapToGrid w:val="0"/>
              <w:ind w:right="210" w:rightChars="100"/>
              <w:jc w:val="right"/>
              <w:rPr>
                <w:color w:val="000000"/>
                <w:szCs w:val="21"/>
              </w:rPr>
            </w:pPr>
            <w:r>
              <w:rPr>
                <w:rFonts w:hint="eastAsia"/>
                <w:color w:val="000000"/>
                <w:szCs w:val="21"/>
              </w:rPr>
              <w:t>59</w:t>
            </w:r>
          </w:p>
        </w:tc>
        <w:tc>
          <w:tcPr>
            <w:tcW w:w="1016" w:type="dxa"/>
            <w:tcBorders>
              <w:left w:val="single" w:color="FFFFFF" w:sz="4" w:space="0"/>
              <w:bottom w:val="single" w:color="FFFFFF" w:sz="6" w:space="0"/>
            </w:tcBorders>
            <w:shd w:val="clear" w:color="auto" w:fill="B9E6FB"/>
            <w:noWrap w:val="0"/>
            <w:vAlign w:val="center"/>
          </w:tcPr>
          <w:p>
            <w:pPr>
              <w:adjustRightInd w:val="0"/>
              <w:snapToGrid w:val="0"/>
              <w:ind w:right="210" w:rightChars="100"/>
              <w:jc w:val="right"/>
              <w:rPr>
                <w:color w:val="000000"/>
                <w:szCs w:val="21"/>
              </w:rPr>
            </w:pPr>
            <w:r>
              <w:rPr>
                <w:rFonts w:hint="eastAsia"/>
                <w:color w:val="000000"/>
                <w:szCs w:val="21"/>
              </w:rPr>
              <w:t>258</w:t>
            </w:r>
          </w:p>
        </w:tc>
        <w:tc>
          <w:tcPr>
            <w:tcW w:w="1114" w:type="dxa"/>
            <w:tcBorders>
              <w:bottom w:val="single" w:color="FFFFFF" w:sz="6" w:space="0"/>
            </w:tcBorders>
            <w:shd w:val="clear" w:color="auto" w:fill="B9E6FB"/>
            <w:noWrap w:val="0"/>
            <w:vAlign w:val="center"/>
          </w:tcPr>
          <w:p>
            <w:pPr>
              <w:adjustRightInd w:val="0"/>
              <w:snapToGrid w:val="0"/>
              <w:ind w:right="147" w:rightChars="70"/>
              <w:jc w:val="right"/>
              <w:rPr>
                <w:color w:val="000000"/>
                <w:szCs w:val="21"/>
              </w:rPr>
            </w:pPr>
            <w:r>
              <w:rPr>
                <w:rFonts w:hint="eastAsia"/>
                <w:szCs w:val="21"/>
              </w:rPr>
              <w:t>14 847.09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988" w:type="dxa"/>
            <w:vMerge w:val="continue"/>
            <w:shd w:val="clear" w:color="auto" w:fill="B9E6FB"/>
            <w:noWrap w:val="0"/>
            <w:vAlign w:val="center"/>
          </w:tcPr>
          <w:p>
            <w:pPr>
              <w:jc w:val="center"/>
              <w:rPr>
                <w:rFonts w:hint="eastAsia"/>
                <w:szCs w:val="21"/>
              </w:rPr>
            </w:pPr>
          </w:p>
        </w:tc>
        <w:tc>
          <w:tcPr>
            <w:tcW w:w="696"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宁波</w:t>
            </w:r>
          </w:p>
        </w:tc>
        <w:tc>
          <w:tcPr>
            <w:tcW w:w="791" w:type="dxa"/>
            <w:tcBorders>
              <w:bottom w:val="single" w:color="FFFFFF" w:sz="6" w:space="0"/>
            </w:tcBorders>
            <w:shd w:val="clear" w:color="auto" w:fill="B9E6FB"/>
            <w:noWrap w:val="0"/>
            <w:vAlign w:val="center"/>
          </w:tcPr>
          <w:p>
            <w:pPr>
              <w:jc w:val="center"/>
              <w:rPr>
                <w:rFonts w:hint="eastAsia"/>
                <w:color w:val="000000"/>
                <w:szCs w:val="21"/>
              </w:rPr>
            </w:pPr>
            <w:r>
              <w:rPr>
                <w:rFonts w:hint="eastAsia"/>
                <w:color w:val="000000"/>
                <w:szCs w:val="21"/>
              </w:rPr>
              <w:t>0</w:t>
            </w:r>
          </w:p>
        </w:tc>
        <w:tc>
          <w:tcPr>
            <w:tcW w:w="1541" w:type="dxa"/>
            <w:tcBorders>
              <w:bottom w:val="single" w:color="FFFFFF" w:sz="6" w:space="0"/>
            </w:tcBorders>
            <w:shd w:val="clear" w:color="auto" w:fill="B9E6FB"/>
            <w:noWrap w:val="0"/>
            <w:vAlign w:val="center"/>
          </w:tcPr>
          <w:p>
            <w:pPr>
              <w:adjustRightInd w:val="0"/>
              <w:snapToGrid w:val="0"/>
              <w:ind w:right="210" w:rightChars="100"/>
              <w:jc w:val="right"/>
              <w:rPr>
                <w:szCs w:val="21"/>
              </w:rPr>
            </w:pPr>
            <w:r>
              <w:rPr>
                <w:rFonts w:hint="eastAsia"/>
                <w:szCs w:val="21"/>
              </w:rPr>
              <w:t>4 250.00</w:t>
            </w:r>
          </w:p>
        </w:tc>
        <w:tc>
          <w:tcPr>
            <w:tcW w:w="895"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szCs w:val="21"/>
              </w:rPr>
            </w:pPr>
            <w:r>
              <w:rPr>
                <w:rFonts w:hint="eastAsia"/>
                <w:szCs w:val="21"/>
              </w:rPr>
              <w:t>0</w:t>
            </w:r>
          </w:p>
        </w:tc>
        <w:tc>
          <w:tcPr>
            <w:tcW w:w="921"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2 918</w:t>
            </w:r>
          </w:p>
        </w:tc>
        <w:tc>
          <w:tcPr>
            <w:tcW w:w="788" w:type="dxa"/>
            <w:tcBorders>
              <w:left w:val="single" w:color="FFFFFF" w:sz="6" w:space="0"/>
              <w:bottom w:val="single" w:color="FFFFFF" w:sz="6" w:space="0"/>
              <w:right w:val="single" w:color="FFFFFF" w:sz="4"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1</w:t>
            </w:r>
          </w:p>
        </w:tc>
        <w:tc>
          <w:tcPr>
            <w:tcW w:w="1016" w:type="dxa"/>
            <w:tcBorders>
              <w:left w:val="single" w:color="FFFFFF" w:sz="4" w:space="0"/>
              <w:bottom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1114" w:type="dxa"/>
            <w:tcBorders>
              <w:bottom w:val="single" w:color="FFFFFF" w:sz="6" w:space="0"/>
            </w:tcBorders>
            <w:shd w:val="clear" w:color="auto" w:fill="B9E6FB"/>
            <w:noWrap w:val="0"/>
            <w:vAlign w:val="center"/>
          </w:tcPr>
          <w:p>
            <w:pPr>
              <w:adjustRightInd w:val="0"/>
              <w:snapToGrid w:val="0"/>
              <w:ind w:right="147" w:rightChars="70"/>
              <w:jc w:val="right"/>
              <w:rPr>
                <w:szCs w:val="21"/>
              </w:rPr>
            </w:pPr>
            <w:r>
              <w:rPr>
                <w:rFonts w:hint="eastAsia" w:ascii="Times New Roman" w:hAnsi="Times New Roman" w:eastAsia="宋体" w:cs="Times New Roman"/>
                <w:szCs w:val="21"/>
              </w:rPr>
              <w:t>11 960.10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988" w:type="dxa"/>
            <w:vMerge w:val="continue"/>
            <w:shd w:val="clear" w:color="auto" w:fill="B9E6FB"/>
            <w:noWrap w:val="0"/>
            <w:vAlign w:val="center"/>
          </w:tcPr>
          <w:p>
            <w:pPr>
              <w:jc w:val="center"/>
              <w:rPr>
                <w:rFonts w:hint="eastAsia"/>
                <w:szCs w:val="21"/>
              </w:rPr>
            </w:pPr>
          </w:p>
        </w:tc>
        <w:tc>
          <w:tcPr>
            <w:tcW w:w="696"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台州</w:t>
            </w:r>
          </w:p>
        </w:tc>
        <w:tc>
          <w:tcPr>
            <w:tcW w:w="791" w:type="dxa"/>
            <w:tcBorders>
              <w:bottom w:val="single" w:color="FFFFFF" w:sz="6" w:space="0"/>
            </w:tcBorders>
            <w:shd w:val="clear" w:color="auto" w:fill="B9E6FB"/>
            <w:noWrap w:val="0"/>
            <w:vAlign w:val="center"/>
          </w:tcPr>
          <w:p>
            <w:pPr>
              <w:jc w:val="center"/>
              <w:rPr>
                <w:rFonts w:hint="eastAsia"/>
                <w:color w:val="000000"/>
                <w:szCs w:val="21"/>
              </w:rPr>
            </w:pPr>
            <w:r>
              <w:rPr>
                <w:rFonts w:hint="eastAsia"/>
                <w:color w:val="000000"/>
                <w:szCs w:val="21"/>
              </w:rPr>
              <w:t>0</w:t>
            </w:r>
          </w:p>
        </w:tc>
        <w:tc>
          <w:tcPr>
            <w:tcW w:w="1541" w:type="dxa"/>
            <w:tcBorders>
              <w:bottom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895"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szCs w:val="21"/>
              </w:rPr>
            </w:pPr>
            <w:r>
              <w:rPr>
                <w:rFonts w:hint="eastAsia"/>
                <w:szCs w:val="21"/>
              </w:rPr>
              <w:t>8</w:t>
            </w:r>
          </w:p>
        </w:tc>
        <w:tc>
          <w:tcPr>
            <w:tcW w:w="921"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788" w:type="dxa"/>
            <w:tcBorders>
              <w:left w:val="single" w:color="FFFFFF" w:sz="6" w:space="0"/>
              <w:bottom w:val="single" w:color="FFFFFF" w:sz="6" w:space="0"/>
              <w:right w:val="single" w:color="FFFFFF" w:sz="4"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1016" w:type="dxa"/>
            <w:tcBorders>
              <w:left w:val="single" w:color="FFFFFF" w:sz="4" w:space="0"/>
              <w:bottom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1114" w:type="dxa"/>
            <w:tcBorders>
              <w:bottom w:val="single" w:color="FFFFFF" w:sz="6" w:space="0"/>
            </w:tcBorders>
            <w:shd w:val="clear" w:color="auto" w:fill="B9E6FB"/>
            <w:noWrap w:val="0"/>
            <w:vAlign w:val="center"/>
          </w:tcPr>
          <w:p>
            <w:pPr>
              <w:adjustRightInd w:val="0"/>
              <w:snapToGrid w:val="0"/>
              <w:ind w:right="147" w:rightChars="70"/>
              <w:jc w:val="right"/>
              <w:rPr>
                <w:szCs w:val="21"/>
              </w:rPr>
            </w:pPr>
            <w:r>
              <w:rPr>
                <w:rFonts w:hint="eastAsia"/>
                <w:szCs w:val="21"/>
              </w:rPr>
              <w:t>110.60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988" w:type="dxa"/>
            <w:vMerge w:val="continue"/>
            <w:tcBorders>
              <w:bottom w:val="single" w:color="FFFFFF" w:sz="6" w:space="0"/>
            </w:tcBorders>
            <w:shd w:val="clear" w:color="auto" w:fill="B9E6FB"/>
            <w:noWrap w:val="0"/>
            <w:vAlign w:val="center"/>
          </w:tcPr>
          <w:p>
            <w:pPr>
              <w:jc w:val="center"/>
              <w:rPr>
                <w:rFonts w:hint="eastAsia"/>
                <w:szCs w:val="21"/>
              </w:rPr>
            </w:pPr>
          </w:p>
        </w:tc>
        <w:tc>
          <w:tcPr>
            <w:tcW w:w="696"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温州</w:t>
            </w:r>
          </w:p>
        </w:tc>
        <w:tc>
          <w:tcPr>
            <w:tcW w:w="791" w:type="dxa"/>
            <w:tcBorders>
              <w:bottom w:val="single" w:color="FFFFFF" w:sz="6" w:space="0"/>
            </w:tcBorders>
            <w:shd w:val="clear" w:color="auto" w:fill="B9E6FB"/>
            <w:noWrap w:val="0"/>
            <w:vAlign w:val="center"/>
          </w:tcPr>
          <w:p>
            <w:pPr>
              <w:jc w:val="center"/>
              <w:rPr>
                <w:rFonts w:hint="eastAsia"/>
                <w:color w:val="000000"/>
                <w:szCs w:val="21"/>
              </w:rPr>
            </w:pPr>
            <w:r>
              <w:rPr>
                <w:rFonts w:hint="eastAsia"/>
                <w:color w:val="000000"/>
                <w:szCs w:val="21"/>
              </w:rPr>
              <w:t>0</w:t>
            </w:r>
          </w:p>
        </w:tc>
        <w:tc>
          <w:tcPr>
            <w:tcW w:w="1541" w:type="dxa"/>
            <w:tcBorders>
              <w:bottom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895"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921" w:type="dxa"/>
            <w:tcBorders>
              <w:bottom w:val="single" w:color="FFFFFF" w:sz="6" w:space="0"/>
              <w:right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788" w:type="dxa"/>
            <w:tcBorders>
              <w:left w:val="single" w:color="FFFFFF" w:sz="6" w:space="0"/>
              <w:bottom w:val="single" w:color="FFFFFF" w:sz="6" w:space="0"/>
              <w:right w:val="single" w:color="FFFFFF" w:sz="4"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1016" w:type="dxa"/>
            <w:tcBorders>
              <w:left w:val="single" w:color="FFFFFF" w:sz="4" w:space="0"/>
              <w:bottom w:val="single" w:color="FFFFFF" w:sz="6" w:space="0"/>
            </w:tcBorders>
            <w:shd w:val="clear" w:color="auto" w:fill="B9E6FB"/>
            <w:noWrap w:val="0"/>
            <w:vAlign w:val="center"/>
          </w:tcPr>
          <w:p>
            <w:pPr>
              <w:adjustRightInd w:val="0"/>
              <w:snapToGrid w:val="0"/>
              <w:ind w:right="210" w:rightChars="100"/>
              <w:jc w:val="right"/>
              <w:rPr>
                <w:rFonts w:hint="eastAsia"/>
                <w:szCs w:val="21"/>
              </w:rPr>
            </w:pPr>
            <w:r>
              <w:rPr>
                <w:rFonts w:hint="eastAsia"/>
                <w:szCs w:val="21"/>
              </w:rPr>
              <w:t>0</w:t>
            </w:r>
          </w:p>
        </w:tc>
        <w:tc>
          <w:tcPr>
            <w:tcW w:w="1114" w:type="dxa"/>
            <w:tcBorders>
              <w:bottom w:val="single" w:color="FFFFFF" w:sz="6" w:space="0"/>
            </w:tcBorders>
            <w:shd w:val="clear" w:color="auto" w:fill="B9E6FB"/>
            <w:noWrap w:val="0"/>
            <w:vAlign w:val="center"/>
          </w:tcPr>
          <w:p>
            <w:pPr>
              <w:adjustRightInd w:val="0"/>
              <w:snapToGrid w:val="0"/>
              <w:ind w:right="147" w:rightChars="70"/>
              <w:jc w:val="right"/>
              <w:rPr>
                <w:rFonts w:hint="eastAsia"/>
                <w:szCs w:val="21"/>
              </w:rPr>
            </w:pPr>
            <w:r>
              <w:rPr>
                <w:rFonts w:hint="eastAsia" w:ascii="微软雅黑" w:hAnsi="微软雅黑" w:eastAsia="微软雅黑"/>
                <w:sz w:val="21"/>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Ex>
        <w:trPr>
          <w:trHeight w:val="507" w:hRule="exact"/>
          <w:jc w:val="center"/>
        </w:trPr>
        <w:tc>
          <w:tcPr>
            <w:tcW w:w="1684" w:type="dxa"/>
            <w:gridSpan w:val="2"/>
            <w:shd w:val="clear" w:color="auto" w:fill="0F76BB"/>
            <w:noWrap w:val="0"/>
            <w:vAlign w:val="center"/>
          </w:tcPr>
          <w:p>
            <w:pPr>
              <w:adjustRightInd w:val="0"/>
              <w:snapToGrid w:val="0"/>
              <w:jc w:val="center"/>
              <w:rPr>
                <w:rFonts w:hint="eastAsia"/>
                <w:b/>
                <w:bCs/>
                <w:color w:val="000000"/>
                <w:kern w:val="2"/>
                <w:sz w:val="21"/>
                <w:szCs w:val="21"/>
                <w:highlight w:val="yellow"/>
                <w:lang w:val="en-US" w:eastAsia="zh-CN" w:bidi="ar-SA"/>
              </w:rPr>
            </w:pPr>
            <w:r>
              <w:rPr>
                <w:rFonts w:hint="eastAsia"/>
                <w:b/>
                <w:bCs/>
                <w:color w:val="FFFFFF"/>
                <w:szCs w:val="21"/>
              </w:rPr>
              <w:t>合计</w:t>
            </w:r>
          </w:p>
        </w:tc>
        <w:tc>
          <w:tcPr>
            <w:tcW w:w="791" w:type="dxa"/>
            <w:shd w:val="clear" w:color="auto" w:fill="0F76BB"/>
            <w:noWrap w:val="0"/>
            <w:vAlign w:val="center"/>
          </w:tcPr>
          <w:p>
            <w:pPr>
              <w:jc w:val="center"/>
              <w:rPr>
                <w:rFonts w:hint="eastAsia"/>
                <w:b/>
                <w:bCs/>
                <w:color w:val="000000"/>
                <w:kern w:val="2"/>
                <w:sz w:val="21"/>
                <w:szCs w:val="21"/>
                <w:highlight w:val="yellow"/>
                <w:lang w:val="en-US" w:eastAsia="zh-CN" w:bidi="ar-SA"/>
              </w:rPr>
            </w:pPr>
            <w:r>
              <w:rPr>
                <w:rFonts w:hint="eastAsia"/>
                <w:b/>
                <w:bCs/>
                <w:color w:val="FFFFFF"/>
                <w:szCs w:val="21"/>
              </w:rPr>
              <w:t>0</w:t>
            </w:r>
          </w:p>
        </w:tc>
        <w:tc>
          <w:tcPr>
            <w:tcW w:w="1541" w:type="dxa"/>
            <w:shd w:val="clear" w:color="auto" w:fill="0F76BB"/>
            <w:noWrap w:val="0"/>
            <w:vAlign w:val="center"/>
          </w:tcPr>
          <w:p>
            <w:pPr>
              <w:ind w:right="210" w:rightChars="100"/>
              <w:jc w:val="right"/>
              <w:rPr>
                <w:b/>
                <w:bCs/>
                <w:color w:val="FFFFFF"/>
                <w:kern w:val="2"/>
                <w:sz w:val="21"/>
                <w:szCs w:val="21"/>
                <w:lang w:val="en-US" w:eastAsia="zh-CN" w:bidi="ar-SA"/>
              </w:rPr>
            </w:pPr>
            <w:r>
              <w:rPr>
                <w:rFonts w:hint="eastAsia"/>
                <w:b/>
                <w:bCs/>
                <w:color w:val="FFFFFF"/>
                <w:szCs w:val="21"/>
              </w:rPr>
              <w:t>6 365.27</w:t>
            </w:r>
          </w:p>
        </w:tc>
        <w:tc>
          <w:tcPr>
            <w:tcW w:w="895" w:type="dxa"/>
            <w:shd w:val="clear" w:color="auto" w:fill="0F76BB"/>
            <w:noWrap w:val="0"/>
            <w:vAlign w:val="center"/>
          </w:tcPr>
          <w:p>
            <w:pPr>
              <w:adjustRightInd w:val="0"/>
              <w:ind w:right="210" w:rightChars="100"/>
              <w:jc w:val="right"/>
              <w:rPr>
                <w:rFonts w:hint="eastAsia"/>
                <w:b/>
                <w:bCs/>
                <w:color w:val="FFFFFF"/>
                <w:kern w:val="2"/>
                <w:sz w:val="21"/>
                <w:szCs w:val="21"/>
                <w:lang w:val="en-US" w:eastAsia="zh-CN" w:bidi="ar-SA"/>
              </w:rPr>
            </w:pPr>
            <w:r>
              <w:rPr>
                <w:rFonts w:hint="eastAsia"/>
                <w:b/>
                <w:bCs/>
                <w:color w:val="FFFFFF"/>
                <w:szCs w:val="21"/>
              </w:rPr>
              <w:t>8</w:t>
            </w:r>
          </w:p>
        </w:tc>
        <w:tc>
          <w:tcPr>
            <w:tcW w:w="921" w:type="dxa"/>
            <w:shd w:val="clear" w:color="auto" w:fill="0F76BB"/>
            <w:noWrap w:val="0"/>
            <w:vAlign w:val="center"/>
          </w:tcPr>
          <w:p>
            <w:pPr>
              <w:adjustRightInd w:val="0"/>
              <w:ind w:right="210" w:rightChars="100"/>
              <w:jc w:val="right"/>
              <w:rPr>
                <w:b/>
                <w:bCs/>
                <w:color w:val="FFFFFF"/>
                <w:kern w:val="2"/>
                <w:sz w:val="21"/>
                <w:szCs w:val="21"/>
                <w:lang w:val="en-US" w:eastAsia="zh-CN" w:bidi="ar-SA"/>
              </w:rPr>
            </w:pPr>
            <w:r>
              <w:rPr>
                <w:rFonts w:hint="eastAsia"/>
                <w:b/>
                <w:bCs/>
                <w:color w:val="FFFFFF"/>
                <w:szCs w:val="21"/>
              </w:rPr>
              <w:t>3 373</w:t>
            </w:r>
          </w:p>
        </w:tc>
        <w:tc>
          <w:tcPr>
            <w:tcW w:w="788" w:type="dxa"/>
            <w:shd w:val="clear" w:color="auto" w:fill="0F76BB"/>
            <w:noWrap w:val="0"/>
            <w:vAlign w:val="center"/>
          </w:tcPr>
          <w:p>
            <w:pPr>
              <w:adjustRightInd w:val="0"/>
              <w:ind w:right="210" w:rightChars="100"/>
              <w:jc w:val="right"/>
              <w:rPr>
                <w:b/>
                <w:bCs/>
                <w:color w:val="FFFFFF"/>
                <w:kern w:val="2"/>
                <w:sz w:val="21"/>
                <w:szCs w:val="21"/>
                <w:lang w:val="en-US" w:eastAsia="zh-CN" w:bidi="ar-SA"/>
              </w:rPr>
            </w:pPr>
            <w:r>
              <w:rPr>
                <w:rFonts w:hint="eastAsia"/>
                <w:b/>
                <w:bCs/>
                <w:color w:val="FFFFFF"/>
                <w:szCs w:val="21"/>
              </w:rPr>
              <w:t>60</w:t>
            </w:r>
          </w:p>
        </w:tc>
        <w:tc>
          <w:tcPr>
            <w:tcW w:w="1016" w:type="dxa"/>
            <w:tcBorders>
              <w:bottom w:val="single" w:color="FFFFFF" w:sz="6" w:space="0"/>
            </w:tcBorders>
            <w:shd w:val="clear" w:color="auto" w:fill="0F76BB"/>
            <w:noWrap w:val="0"/>
            <w:vAlign w:val="center"/>
          </w:tcPr>
          <w:p>
            <w:pPr>
              <w:ind w:right="210" w:rightChars="100"/>
              <w:jc w:val="right"/>
              <w:rPr>
                <w:b/>
                <w:bCs/>
                <w:color w:val="FFFFFF"/>
                <w:kern w:val="2"/>
                <w:sz w:val="21"/>
                <w:szCs w:val="21"/>
                <w:lang w:val="en-US" w:eastAsia="zh-CN" w:bidi="ar-SA"/>
              </w:rPr>
            </w:pPr>
            <w:r>
              <w:rPr>
                <w:rFonts w:hint="eastAsia"/>
                <w:b/>
                <w:bCs/>
                <w:color w:val="FFFFFF"/>
                <w:szCs w:val="21"/>
              </w:rPr>
              <w:t>258</w:t>
            </w:r>
          </w:p>
        </w:tc>
        <w:tc>
          <w:tcPr>
            <w:tcW w:w="1114" w:type="dxa"/>
            <w:shd w:val="clear" w:color="auto" w:fill="0F76BB"/>
            <w:noWrap w:val="0"/>
            <w:vAlign w:val="center"/>
          </w:tcPr>
          <w:p>
            <w:pPr>
              <w:ind w:right="147" w:rightChars="70"/>
              <w:jc w:val="right"/>
              <w:rPr>
                <w:b/>
                <w:bCs/>
                <w:color w:val="FFFFFF"/>
                <w:kern w:val="2"/>
                <w:sz w:val="21"/>
                <w:szCs w:val="21"/>
                <w:lang w:val="en-US" w:eastAsia="zh-CN" w:bidi="ar-SA"/>
              </w:rPr>
            </w:pPr>
            <w:r>
              <w:rPr>
                <w:rFonts w:hint="eastAsia"/>
                <w:b/>
                <w:bCs/>
                <w:color w:val="FFFFFF"/>
                <w:szCs w:val="21"/>
              </w:rPr>
              <w:t>26 917.79</w:t>
            </w:r>
          </w:p>
        </w:tc>
      </w:tr>
    </w:tbl>
    <w:p>
      <w:pPr>
        <w:pStyle w:val="48"/>
        <w:spacing w:before="156" w:beforeLines="50" w:line="360" w:lineRule="auto"/>
        <w:ind w:left="-140" w:leftChars="-67" w:firstLine="0" w:firstLineChars="0"/>
        <w:jc w:val="left"/>
        <w:rPr>
          <w:rFonts w:hint="eastAsia" w:ascii="Times New Roman" w:hAnsi="Times New Roman"/>
          <w:b/>
          <w:sz w:val="36"/>
          <w:szCs w:val="36"/>
        </w:rPr>
      </w:pPr>
      <w:r>
        <w:rPr>
          <w:rFonts w:ascii="Times New Roman" w:hAnsi="Times New Roman"/>
          <w:b/>
          <w:sz w:val="36"/>
          <w:szCs w:val="36"/>
        </w:rPr>
        <w:t>（二）主要风暴潮灾害</w:t>
      </w:r>
    </w:p>
    <w:p>
      <w:pPr>
        <w:spacing w:before="156" w:beforeLines="50" w:after="156" w:afterLines="50"/>
        <w:ind w:firstLine="640" w:firstLineChars="200"/>
        <w:rPr>
          <w:rFonts w:hint="eastAsia"/>
          <w:color w:val="FF0000"/>
          <w:sz w:val="30"/>
          <w:szCs w:val="30"/>
        </w:rPr>
      </w:pPr>
      <w:bookmarkStart w:id="10" w:name="_Toc380761875"/>
      <w:r>
        <w:rPr>
          <w:rFonts w:hint="eastAsia"/>
          <w:b/>
          <w:sz w:val="32"/>
          <w:szCs w:val="32"/>
        </w:rPr>
        <w:t>2212“梅花”台风风暴潮</w:t>
      </w:r>
    </w:p>
    <w:p>
      <w:pPr>
        <w:keepNext w:val="0"/>
        <w:keepLines w:val="0"/>
        <w:pageBreakBefore w:val="0"/>
        <w:widowControl w:val="0"/>
        <w:kinsoku/>
        <w:wordWrap/>
        <w:overflowPunct/>
        <w:topLinePunct w:val="0"/>
        <w:autoSpaceDE/>
        <w:autoSpaceDN/>
        <w:bidi w:val="0"/>
        <w:adjustRightInd/>
        <w:snapToGrid/>
        <w:spacing w:before="156" w:beforeLines="50"/>
        <w:ind w:firstLine="600" w:firstLineChars="200"/>
        <w:textAlignment w:val="auto"/>
        <w:rPr>
          <w:rFonts w:hint="eastAsia"/>
          <w:color w:val="auto"/>
          <w:sz w:val="30"/>
          <w:szCs w:val="30"/>
        </w:rPr>
      </w:pPr>
      <w:r>
        <w:rPr>
          <w:rFonts w:hint="eastAsia"/>
          <w:color w:val="000000"/>
          <w:sz w:val="30"/>
          <w:szCs w:val="30"/>
        </w:rPr>
        <w:t>“梅花”于9月8日08时在菲律宾以东的洋面上生成，10日11时加强为台风，11日02时加强为强台风，于14日20时30分前后在我省舟山市普陀沿海以强台风级别（42米/秒，960百帕）登陆，</w:t>
      </w:r>
      <w:r>
        <w:rPr>
          <w:rFonts w:hint="eastAsia"/>
          <w:color w:val="000000"/>
          <w:sz w:val="30"/>
          <w:szCs w:val="30"/>
          <w:lang w:eastAsia="zh-CN"/>
        </w:rPr>
        <w:t>之后</w:t>
      </w:r>
      <w:r>
        <w:rPr>
          <w:rFonts w:hint="eastAsia"/>
          <w:color w:val="auto"/>
          <w:sz w:val="30"/>
          <w:szCs w:val="30"/>
        </w:rPr>
        <w:t>穿过杭州湾</w:t>
      </w:r>
      <w:r>
        <w:rPr>
          <w:rFonts w:hint="eastAsia"/>
          <w:color w:val="auto"/>
          <w:sz w:val="30"/>
          <w:szCs w:val="30"/>
          <w:lang w:eastAsia="zh-CN"/>
        </w:rPr>
        <w:t>并于</w:t>
      </w:r>
      <w:r>
        <w:rPr>
          <w:rFonts w:hint="eastAsia"/>
          <w:color w:val="auto"/>
          <w:sz w:val="30"/>
          <w:szCs w:val="30"/>
          <w:lang w:val="en-US" w:eastAsia="zh-CN"/>
        </w:rPr>
        <w:t>15日</w:t>
      </w:r>
      <w:r>
        <w:rPr>
          <w:rFonts w:hint="eastAsia"/>
          <w:color w:val="auto"/>
          <w:sz w:val="30"/>
          <w:szCs w:val="30"/>
          <w:lang w:val="en-US" w:eastAsia="zh"/>
        </w:rPr>
        <w:t>00</w:t>
      </w:r>
      <w:r>
        <w:rPr>
          <w:rFonts w:hint="eastAsia"/>
          <w:color w:val="auto"/>
          <w:sz w:val="30"/>
          <w:szCs w:val="30"/>
          <w:lang w:val="en-US" w:eastAsia="zh-CN"/>
        </w:rPr>
        <w:t>时30分前后在上海奉贤沿海以台风级别（38</w:t>
      </w:r>
      <w:r>
        <w:rPr>
          <w:rFonts w:hint="eastAsia"/>
          <w:color w:val="auto"/>
          <w:sz w:val="30"/>
          <w:szCs w:val="30"/>
        </w:rPr>
        <w:t>米/秒，9</w:t>
      </w:r>
      <w:r>
        <w:rPr>
          <w:rFonts w:hint="eastAsia"/>
          <w:color w:val="auto"/>
          <w:sz w:val="30"/>
          <w:szCs w:val="30"/>
          <w:lang w:val="en-US" w:eastAsia="zh-CN"/>
        </w:rPr>
        <w:t>7</w:t>
      </w:r>
      <w:r>
        <w:rPr>
          <w:rFonts w:hint="eastAsia"/>
          <w:color w:val="auto"/>
          <w:sz w:val="30"/>
          <w:szCs w:val="30"/>
        </w:rPr>
        <w:t>0百帕</w:t>
      </w:r>
      <w:r>
        <w:rPr>
          <w:rFonts w:hint="eastAsia"/>
          <w:color w:val="auto"/>
          <w:sz w:val="30"/>
          <w:szCs w:val="30"/>
          <w:lang w:val="en-US" w:eastAsia="zh-CN"/>
        </w:rPr>
        <w:t>）</w:t>
      </w:r>
      <w:r>
        <w:rPr>
          <w:rFonts w:hint="eastAsia"/>
          <w:color w:val="auto"/>
          <w:sz w:val="30"/>
          <w:szCs w:val="30"/>
        </w:rPr>
        <w:t>登陆。</w:t>
      </w:r>
    </w:p>
    <w:p>
      <w:pPr>
        <w:keepNext w:val="0"/>
        <w:keepLines w:val="0"/>
        <w:pageBreakBefore w:val="0"/>
        <w:widowControl w:val="0"/>
        <w:kinsoku/>
        <w:wordWrap/>
        <w:overflowPunct/>
        <w:topLinePunct w:val="0"/>
        <w:autoSpaceDE/>
        <w:autoSpaceDN/>
        <w:bidi w:val="0"/>
        <w:adjustRightInd/>
        <w:snapToGrid/>
        <w:spacing w:before="156" w:beforeLines="50"/>
        <w:ind w:firstLine="600" w:firstLineChars="200"/>
        <w:textAlignment w:val="auto"/>
        <w:rPr>
          <w:rFonts w:hint="eastAsia" w:hAnsi="宋体"/>
          <w:sz w:val="30"/>
          <w:szCs w:val="30"/>
        </w:rPr>
      </w:pPr>
      <w:r>
        <w:rPr>
          <w:rFonts w:hint="eastAsia"/>
          <w:color w:val="auto"/>
          <w:sz w:val="30"/>
          <w:szCs w:val="30"/>
        </w:rPr>
        <w:t>“梅花”影响期间，</w:t>
      </w:r>
      <w:r>
        <w:rPr>
          <w:rFonts w:hint="eastAsia" w:hAnsi="宋体"/>
          <w:color w:val="auto"/>
          <w:sz w:val="30"/>
          <w:szCs w:val="30"/>
        </w:rPr>
        <w:t>全省</w:t>
      </w:r>
      <w:r>
        <w:rPr>
          <w:rFonts w:hint="eastAsia" w:hAnsi="宋体"/>
          <w:color w:val="auto"/>
          <w:sz w:val="30"/>
          <w:szCs w:val="30"/>
          <w:lang w:val="en-US" w:eastAsia="zh-CN"/>
        </w:rPr>
        <w:t>30</w:t>
      </w:r>
      <w:r>
        <w:rPr>
          <w:rFonts w:hint="eastAsia" w:hAnsi="宋体"/>
          <w:color w:val="auto"/>
          <w:sz w:val="30"/>
          <w:szCs w:val="30"/>
        </w:rPr>
        <w:t>个代表潮位</w:t>
      </w:r>
      <w:r>
        <w:rPr>
          <w:rFonts w:hint="eastAsia" w:hAnsi="宋体"/>
          <w:sz w:val="30"/>
          <w:szCs w:val="30"/>
        </w:rPr>
        <w:t>站中1个站超过黄色警戒潮位，</w:t>
      </w:r>
      <w:r>
        <w:rPr>
          <w:rFonts w:hint="eastAsia"/>
          <w:sz w:val="30"/>
          <w:szCs w:val="30"/>
          <w:lang w:val="en-US" w:eastAsia="zh-CN"/>
        </w:rPr>
        <w:t>6</w:t>
      </w:r>
      <w:r>
        <w:rPr>
          <w:rFonts w:hAnsi="宋体"/>
          <w:sz w:val="30"/>
          <w:szCs w:val="30"/>
        </w:rPr>
        <w:t>个站</w:t>
      </w:r>
      <w:r>
        <w:rPr>
          <w:rFonts w:hint="eastAsia" w:hAnsi="宋体"/>
          <w:sz w:val="30"/>
          <w:szCs w:val="30"/>
        </w:rPr>
        <w:t>超过蓝</w:t>
      </w:r>
      <w:r>
        <w:rPr>
          <w:rFonts w:hAnsi="宋体"/>
          <w:sz w:val="30"/>
          <w:szCs w:val="30"/>
        </w:rPr>
        <w:t>色</w:t>
      </w:r>
      <w:r>
        <w:rPr>
          <w:rFonts w:hint="eastAsia" w:hAnsi="宋体"/>
          <w:sz w:val="30"/>
          <w:szCs w:val="30"/>
        </w:rPr>
        <w:t>警戒潮位</w:t>
      </w:r>
      <w:r>
        <w:rPr>
          <w:rFonts w:hint="eastAsia"/>
          <w:color w:val="000000"/>
          <w:sz w:val="30"/>
          <w:szCs w:val="30"/>
        </w:rPr>
        <w:t>（见表3）。</w:t>
      </w:r>
      <w:r>
        <w:rPr>
          <w:rFonts w:hAnsi="宋体"/>
          <w:sz w:val="30"/>
          <w:szCs w:val="30"/>
        </w:rPr>
        <w:t>沿海观测到的最大风暴增水为</w:t>
      </w:r>
      <w:r>
        <w:rPr>
          <w:rFonts w:hint="eastAsia" w:hAnsi="宋体"/>
          <w:sz w:val="30"/>
          <w:szCs w:val="30"/>
        </w:rPr>
        <w:t>194</w:t>
      </w:r>
      <w:r>
        <w:rPr>
          <w:rFonts w:hAnsi="宋体"/>
          <w:sz w:val="30"/>
          <w:szCs w:val="30"/>
        </w:rPr>
        <w:t>厘米</w:t>
      </w:r>
      <w:r>
        <w:rPr>
          <w:rFonts w:hint="eastAsia" w:hAnsi="宋体"/>
          <w:sz w:val="30"/>
          <w:szCs w:val="30"/>
        </w:rPr>
        <w:t>，发生在</w:t>
      </w:r>
      <w:r>
        <w:rPr>
          <w:rFonts w:hint="eastAsia" w:hAnsi="宋体"/>
          <w:sz w:val="30"/>
          <w:szCs w:val="30"/>
          <w:lang w:eastAsia="zh-CN"/>
        </w:rPr>
        <w:t>嘉兴</w:t>
      </w:r>
      <w:r>
        <w:rPr>
          <w:rFonts w:hint="eastAsia" w:hAnsi="宋体"/>
          <w:sz w:val="30"/>
          <w:szCs w:val="30"/>
        </w:rPr>
        <w:t>澉浦站。</w:t>
      </w:r>
    </w:p>
    <w:p>
      <w:pPr>
        <w:keepNext w:val="0"/>
        <w:keepLines w:val="0"/>
        <w:pageBreakBefore w:val="0"/>
        <w:widowControl w:val="0"/>
        <w:kinsoku/>
        <w:wordWrap/>
        <w:overflowPunct/>
        <w:topLinePunct w:val="0"/>
        <w:autoSpaceDE/>
        <w:autoSpaceDN/>
        <w:bidi w:val="0"/>
        <w:adjustRightInd/>
        <w:snapToGrid/>
        <w:spacing w:before="156" w:beforeLines="50"/>
        <w:ind w:firstLine="600" w:firstLineChars="200"/>
        <w:textAlignment w:val="auto"/>
        <w:rPr>
          <w:rFonts w:hint="eastAsia" w:hAnsi="宋体"/>
          <w:sz w:val="30"/>
          <w:szCs w:val="30"/>
        </w:rPr>
      </w:pPr>
    </w:p>
    <w:p>
      <w:pPr>
        <w:spacing w:line="360" w:lineRule="auto"/>
        <w:jc w:val="center"/>
        <w:rPr>
          <w:sz w:val="24"/>
        </w:rPr>
      </w:pPr>
      <w:r>
        <w:rPr>
          <w:sz w:val="24"/>
        </w:rPr>
        <w:t>表</w:t>
      </w:r>
      <w:r>
        <w:rPr>
          <w:rFonts w:hint="eastAsia"/>
          <w:sz w:val="24"/>
        </w:rPr>
        <w:t>3</w:t>
      </w:r>
      <w:r>
        <w:rPr>
          <w:sz w:val="24"/>
        </w:rPr>
        <w:t xml:space="preserve"> </w:t>
      </w:r>
      <w:r>
        <w:rPr>
          <w:rFonts w:hint="eastAsia"/>
          <w:sz w:val="24"/>
        </w:rPr>
        <w:t xml:space="preserve"> 2212“梅花”台风风暴潮最高潮位数据情况</w:t>
      </w:r>
    </w:p>
    <w:tbl>
      <w:tblPr>
        <w:tblStyle w:val="20"/>
        <w:tblW w:w="0" w:type="auto"/>
        <w:tblInd w:w="0"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1871"/>
        <w:gridCol w:w="2126"/>
        <w:gridCol w:w="2268"/>
        <w:gridCol w:w="2127"/>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0F76BB"/>
            <w:noWrap w:val="0"/>
            <w:vAlign w:val="center"/>
          </w:tcPr>
          <w:p>
            <w:pPr>
              <w:adjustRightInd w:val="0"/>
              <w:snapToGrid w:val="0"/>
              <w:jc w:val="center"/>
              <w:rPr>
                <w:rFonts w:hint="eastAsia"/>
                <w:b/>
                <w:bCs/>
                <w:color w:val="FFFFFF"/>
                <w:szCs w:val="21"/>
              </w:rPr>
            </w:pPr>
            <w:r>
              <w:rPr>
                <w:rFonts w:hint="eastAsia"/>
                <w:b/>
                <w:bCs/>
                <w:color w:val="FFFFFF"/>
                <w:szCs w:val="21"/>
              </w:rPr>
              <w:t>站名</w:t>
            </w:r>
          </w:p>
        </w:tc>
        <w:tc>
          <w:tcPr>
            <w:tcW w:w="2126" w:type="dxa"/>
            <w:tcBorders>
              <w:left w:val="single" w:color="FFFFFF" w:sz="6" w:space="0"/>
              <w:right w:val="single" w:color="FFFFFF" w:sz="6" w:space="0"/>
            </w:tcBorders>
            <w:shd w:val="clear" w:color="auto" w:fill="0F76BB"/>
            <w:noWrap w:val="0"/>
            <w:vAlign w:val="center"/>
          </w:tcPr>
          <w:p>
            <w:pPr>
              <w:adjustRightInd w:val="0"/>
              <w:snapToGrid w:val="0"/>
              <w:jc w:val="center"/>
              <w:rPr>
                <w:rFonts w:hint="eastAsia"/>
                <w:b/>
                <w:bCs/>
                <w:color w:val="FFFFFF"/>
                <w:szCs w:val="21"/>
              </w:rPr>
            </w:pPr>
            <w:r>
              <w:rPr>
                <w:rFonts w:hint="eastAsia"/>
                <w:b/>
                <w:bCs/>
                <w:color w:val="FFFFFF"/>
                <w:szCs w:val="21"/>
              </w:rPr>
              <w:t>最高潮位（厘米）</w:t>
            </w:r>
          </w:p>
        </w:tc>
        <w:tc>
          <w:tcPr>
            <w:tcW w:w="2268" w:type="dxa"/>
            <w:tcBorders>
              <w:left w:val="single" w:color="FFFFFF" w:sz="6" w:space="0"/>
              <w:right w:val="single" w:color="FFFFFF" w:sz="6" w:space="0"/>
            </w:tcBorders>
            <w:shd w:val="clear" w:color="auto" w:fill="0F76BB"/>
            <w:noWrap w:val="0"/>
            <w:vAlign w:val="center"/>
          </w:tcPr>
          <w:p>
            <w:pPr>
              <w:adjustRightInd w:val="0"/>
              <w:snapToGrid w:val="0"/>
              <w:jc w:val="center"/>
              <w:rPr>
                <w:rFonts w:hint="eastAsia"/>
                <w:b/>
                <w:bCs/>
                <w:color w:val="FFFFFF"/>
                <w:szCs w:val="21"/>
              </w:rPr>
            </w:pPr>
            <w:r>
              <w:rPr>
                <w:rFonts w:hint="eastAsia"/>
                <w:b/>
                <w:bCs/>
                <w:color w:val="FFFFFF"/>
                <w:szCs w:val="21"/>
              </w:rPr>
              <w:t>最高潮位出现时间</w:t>
            </w:r>
          </w:p>
        </w:tc>
        <w:tc>
          <w:tcPr>
            <w:tcW w:w="2127" w:type="dxa"/>
            <w:shd w:val="clear" w:color="auto" w:fill="0F76BB"/>
            <w:noWrap w:val="0"/>
            <w:vAlign w:val="center"/>
          </w:tcPr>
          <w:p>
            <w:pPr>
              <w:adjustRightInd w:val="0"/>
              <w:snapToGrid w:val="0"/>
              <w:jc w:val="center"/>
              <w:rPr>
                <w:rFonts w:hint="eastAsia"/>
                <w:b/>
                <w:bCs/>
                <w:color w:val="FFFFFF"/>
                <w:szCs w:val="21"/>
              </w:rPr>
            </w:pPr>
            <w:r>
              <w:rPr>
                <w:rFonts w:hint="eastAsia"/>
                <w:b/>
                <w:bCs/>
                <w:color w:val="FFFFFF"/>
                <w:szCs w:val="21"/>
              </w:rPr>
              <w:t>达到的预警级别</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B9E6FB"/>
            <w:noWrap w:val="0"/>
            <w:vAlign w:val="center"/>
          </w:tcPr>
          <w:p>
            <w:pPr>
              <w:adjustRightInd w:val="0"/>
              <w:snapToGrid w:val="0"/>
              <w:jc w:val="center"/>
              <w:rPr>
                <w:rFonts w:hint="eastAsia"/>
                <w:color w:val="auto"/>
                <w:szCs w:val="21"/>
              </w:rPr>
            </w:pPr>
            <w:r>
              <w:rPr>
                <w:rFonts w:hint="eastAsia"/>
                <w:color w:val="auto"/>
                <w:szCs w:val="21"/>
                <w:lang w:eastAsia="zh-CN"/>
              </w:rPr>
              <w:t>宁波</w:t>
            </w:r>
            <w:r>
              <w:rPr>
                <w:rFonts w:hint="eastAsia"/>
                <w:color w:val="auto"/>
                <w:szCs w:val="21"/>
              </w:rPr>
              <w:t>镇海站</w:t>
            </w:r>
          </w:p>
        </w:tc>
        <w:tc>
          <w:tcPr>
            <w:tcW w:w="2126" w:type="dxa"/>
            <w:tcBorders>
              <w:left w:val="single" w:color="FFFFFF" w:sz="6" w:space="0"/>
              <w:right w:val="single" w:color="FFFFFF" w:sz="6" w:space="0"/>
            </w:tcBorders>
            <w:shd w:val="clear" w:color="auto" w:fill="B9E6FB"/>
            <w:noWrap w:val="0"/>
            <w:vAlign w:val="center"/>
          </w:tcPr>
          <w:p>
            <w:pPr>
              <w:adjustRightInd w:val="0"/>
              <w:snapToGrid w:val="0"/>
              <w:jc w:val="center"/>
              <w:rPr>
                <w:color w:val="auto"/>
                <w:szCs w:val="21"/>
              </w:rPr>
            </w:pPr>
            <w:r>
              <w:rPr>
                <w:rFonts w:hint="eastAsia"/>
                <w:color w:val="auto"/>
                <w:szCs w:val="21"/>
              </w:rPr>
              <w:t>250</w:t>
            </w:r>
          </w:p>
        </w:tc>
        <w:tc>
          <w:tcPr>
            <w:tcW w:w="2268" w:type="dxa"/>
            <w:tcBorders>
              <w:left w:val="single" w:color="FFFFFF" w:sz="6" w:space="0"/>
              <w:right w:val="single" w:color="FFFFFF" w:sz="6" w:space="0"/>
            </w:tcBorders>
            <w:shd w:val="clear" w:color="auto" w:fill="B9E6FB"/>
            <w:noWrap w:val="0"/>
            <w:vAlign w:val="center"/>
          </w:tcPr>
          <w:p>
            <w:pPr>
              <w:adjustRightInd w:val="0"/>
              <w:snapToGrid w:val="0"/>
              <w:jc w:val="center"/>
              <w:rPr>
                <w:color w:val="auto"/>
                <w:szCs w:val="21"/>
              </w:rPr>
            </w:pPr>
            <w:r>
              <w:rPr>
                <w:rFonts w:hint="eastAsia"/>
                <w:color w:val="auto"/>
                <w:szCs w:val="21"/>
                <w:lang w:val="en-US" w:eastAsia="zh-CN"/>
              </w:rPr>
              <w:t>9月</w:t>
            </w:r>
            <w:r>
              <w:rPr>
                <w:rFonts w:hint="eastAsia"/>
                <w:color w:val="auto"/>
                <w:szCs w:val="21"/>
              </w:rPr>
              <w:t>14日13:31</w:t>
            </w:r>
          </w:p>
        </w:tc>
        <w:tc>
          <w:tcPr>
            <w:tcW w:w="2127" w:type="dxa"/>
            <w:shd w:val="clear" w:color="auto" w:fill="B9E6FB"/>
            <w:noWrap w:val="0"/>
            <w:vAlign w:val="center"/>
          </w:tcPr>
          <w:p>
            <w:pPr>
              <w:adjustRightInd w:val="0"/>
              <w:snapToGrid w:val="0"/>
              <w:jc w:val="center"/>
              <w:rPr>
                <w:rFonts w:hint="eastAsia"/>
                <w:color w:val="auto"/>
                <w:szCs w:val="21"/>
              </w:rPr>
            </w:pPr>
            <w:r>
              <w:rPr>
                <w:rFonts w:hint="eastAsia"/>
                <w:color w:val="auto"/>
                <w:szCs w:val="21"/>
              </w:rPr>
              <w:t>黄色</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E2F4FD"/>
            <w:noWrap w:val="0"/>
            <w:vAlign w:val="center"/>
          </w:tcPr>
          <w:p>
            <w:pPr>
              <w:adjustRightInd w:val="0"/>
              <w:snapToGrid w:val="0"/>
              <w:jc w:val="center"/>
              <w:rPr>
                <w:rFonts w:hint="eastAsia"/>
                <w:color w:val="auto"/>
                <w:szCs w:val="21"/>
              </w:rPr>
            </w:pPr>
            <w:r>
              <w:rPr>
                <w:rFonts w:hint="eastAsia"/>
                <w:color w:val="auto"/>
                <w:szCs w:val="21"/>
                <w:lang w:eastAsia="zh-CN"/>
              </w:rPr>
              <w:t>嘉兴</w:t>
            </w:r>
            <w:r>
              <w:rPr>
                <w:rFonts w:hint="eastAsia"/>
                <w:color w:val="auto"/>
                <w:szCs w:val="21"/>
              </w:rPr>
              <w:t>澉浦站</w:t>
            </w:r>
          </w:p>
        </w:tc>
        <w:tc>
          <w:tcPr>
            <w:tcW w:w="2126" w:type="dxa"/>
            <w:tcBorders>
              <w:left w:val="single" w:color="FFFFFF" w:sz="6" w:space="0"/>
              <w:right w:val="single" w:color="FFFFFF" w:sz="6" w:space="0"/>
            </w:tcBorders>
            <w:shd w:val="clear" w:color="auto" w:fill="E2F4FD"/>
            <w:noWrap w:val="0"/>
            <w:vAlign w:val="center"/>
          </w:tcPr>
          <w:p>
            <w:pPr>
              <w:adjustRightInd w:val="0"/>
              <w:snapToGrid w:val="0"/>
              <w:jc w:val="center"/>
              <w:rPr>
                <w:rFonts w:hint="default" w:eastAsia="宋体"/>
                <w:color w:val="auto"/>
                <w:szCs w:val="21"/>
                <w:lang w:val="en-US" w:eastAsia="zh-CN"/>
              </w:rPr>
            </w:pPr>
            <w:r>
              <w:rPr>
                <w:rFonts w:hint="eastAsia"/>
                <w:color w:val="auto"/>
                <w:szCs w:val="21"/>
              </w:rPr>
              <w:t>5</w:t>
            </w:r>
            <w:r>
              <w:rPr>
                <w:rFonts w:hint="eastAsia"/>
                <w:color w:val="auto"/>
                <w:szCs w:val="21"/>
                <w:lang w:val="en-US" w:eastAsia="zh-CN"/>
              </w:rPr>
              <w:t>24</w:t>
            </w:r>
          </w:p>
        </w:tc>
        <w:tc>
          <w:tcPr>
            <w:tcW w:w="2268" w:type="dxa"/>
            <w:tcBorders>
              <w:left w:val="single" w:color="FFFFFF" w:sz="6" w:space="0"/>
              <w:right w:val="single" w:color="FFFFFF" w:sz="6" w:space="0"/>
            </w:tcBorders>
            <w:shd w:val="clear" w:color="auto" w:fill="E2F4FD"/>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9月</w:t>
            </w:r>
            <w:r>
              <w:rPr>
                <w:rFonts w:hint="eastAsia"/>
                <w:color w:val="auto"/>
                <w:szCs w:val="21"/>
              </w:rPr>
              <w:t>1</w:t>
            </w:r>
            <w:r>
              <w:rPr>
                <w:rFonts w:hint="eastAsia"/>
                <w:color w:val="auto"/>
                <w:szCs w:val="21"/>
                <w:lang w:val="en-US" w:eastAsia="zh-CN"/>
              </w:rPr>
              <w:t>4</w:t>
            </w:r>
            <w:r>
              <w:rPr>
                <w:rFonts w:hint="eastAsia"/>
                <w:color w:val="auto"/>
                <w:szCs w:val="21"/>
              </w:rPr>
              <w:t>日</w:t>
            </w:r>
            <w:r>
              <w:rPr>
                <w:rFonts w:hint="eastAsia"/>
                <w:color w:val="auto"/>
                <w:szCs w:val="21"/>
                <w:lang w:val="en-US" w:eastAsia="zh-CN"/>
              </w:rPr>
              <w:t>15</w:t>
            </w:r>
            <w:r>
              <w:rPr>
                <w:rFonts w:hint="eastAsia"/>
                <w:color w:val="auto"/>
                <w:szCs w:val="21"/>
              </w:rPr>
              <w:t>:</w:t>
            </w:r>
            <w:r>
              <w:rPr>
                <w:rFonts w:hint="eastAsia"/>
                <w:color w:val="auto"/>
                <w:szCs w:val="21"/>
                <w:lang w:val="en-US" w:eastAsia="zh-CN"/>
              </w:rPr>
              <w:t>10</w:t>
            </w:r>
          </w:p>
        </w:tc>
        <w:tc>
          <w:tcPr>
            <w:tcW w:w="2127" w:type="dxa"/>
            <w:shd w:val="clear" w:color="auto" w:fill="E2F4FD"/>
            <w:noWrap w:val="0"/>
            <w:vAlign w:val="center"/>
          </w:tcPr>
          <w:p>
            <w:pPr>
              <w:adjustRightInd w:val="0"/>
              <w:snapToGrid w:val="0"/>
              <w:jc w:val="center"/>
              <w:rPr>
                <w:rFonts w:hint="eastAsia"/>
                <w:color w:val="auto"/>
                <w:szCs w:val="21"/>
              </w:rPr>
            </w:pPr>
            <w:r>
              <w:rPr>
                <w:rFonts w:hint="eastAsia"/>
                <w:color w:val="auto"/>
                <w:szCs w:val="21"/>
              </w:rPr>
              <w:t>蓝色</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B9E6FB"/>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lang w:eastAsia="zh-CN"/>
              </w:rPr>
              <w:t>宁波</w:t>
            </w:r>
            <w:r>
              <w:rPr>
                <w:rFonts w:hint="eastAsia"/>
                <w:color w:val="auto"/>
                <w:szCs w:val="21"/>
              </w:rPr>
              <w:t>乌沙山站</w:t>
            </w:r>
          </w:p>
        </w:tc>
        <w:tc>
          <w:tcPr>
            <w:tcW w:w="2126" w:type="dxa"/>
            <w:tcBorders>
              <w:left w:val="single" w:color="FFFFFF" w:sz="6" w:space="0"/>
              <w:right w:val="single" w:color="FFFFFF" w:sz="6" w:space="0"/>
            </w:tcBorders>
            <w:shd w:val="clear" w:color="auto" w:fill="B9E6FB"/>
            <w:noWrap w:val="0"/>
            <w:vAlign w:val="center"/>
          </w:tcPr>
          <w:p>
            <w:pPr>
              <w:adjustRightInd w:val="0"/>
              <w:snapToGrid w:val="0"/>
              <w:jc w:val="center"/>
              <w:rPr>
                <w:color w:val="auto"/>
                <w:kern w:val="2"/>
                <w:sz w:val="21"/>
                <w:szCs w:val="21"/>
                <w:lang w:val="en-US" w:eastAsia="zh-CN" w:bidi="ar-SA"/>
              </w:rPr>
            </w:pPr>
            <w:r>
              <w:rPr>
                <w:rFonts w:hint="eastAsia"/>
                <w:color w:val="auto"/>
                <w:szCs w:val="21"/>
              </w:rPr>
              <w:t>373</w:t>
            </w:r>
          </w:p>
        </w:tc>
        <w:tc>
          <w:tcPr>
            <w:tcW w:w="2268" w:type="dxa"/>
            <w:tcBorders>
              <w:left w:val="single" w:color="FFFFFF" w:sz="6" w:space="0"/>
              <w:right w:val="single" w:color="FFFFFF" w:sz="6" w:space="0"/>
            </w:tcBorders>
            <w:shd w:val="clear" w:color="auto" w:fill="B9E6FB"/>
            <w:noWrap w:val="0"/>
            <w:vAlign w:val="center"/>
          </w:tcPr>
          <w:p>
            <w:pPr>
              <w:adjustRightInd w:val="0"/>
              <w:snapToGrid w:val="0"/>
              <w:jc w:val="center"/>
              <w:rPr>
                <w:color w:val="auto"/>
                <w:kern w:val="2"/>
                <w:sz w:val="21"/>
                <w:szCs w:val="21"/>
                <w:lang w:val="en-US" w:eastAsia="zh-CN" w:bidi="ar-SA"/>
              </w:rPr>
            </w:pPr>
            <w:r>
              <w:rPr>
                <w:rFonts w:hint="eastAsia"/>
                <w:color w:val="auto"/>
                <w:szCs w:val="21"/>
                <w:lang w:val="en-US" w:eastAsia="zh-CN"/>
              </w:rPr>
              <w:t>9月</w:t>
            </w:r>
            <w:r>
              <w:rPr>
                <w:rFonts w:hint="eastAsia"/>
                <w:color w:val="auto"/>
                <w:szCs w:val="21"/>
              </w:rPr>
              <w:t>14日11:59</w:t>
            </w:r>
          </w:p>
        </w:tc>
        <w:tc>
          <w:tcPr>
            <w:tcW w:w="2127" w:type="dxa"/>
            <w:shd w:val="clear" w:color="auto" w:fill="B9E6FB"/>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rPr>
              <w:t>蓝色</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E2F4FD"/>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lang w:eastAsia="zh-CN"/>
              </w:rPr>
              <w:t>宁波</w:t>
            </w:r>
            <w:r>
              <w:rPr>
                <w:rFonts w:hint="eastAsia"/>
                <w:color w:val="auto"/>
                <w:szCs w:val="21"/>
              </w:rPr>
              <w:t>石浦站</w:t>
            </w:r>
          </w:p>
        </w:tc>
        <w:tc>
          <w:tcPr>
            <w:tcW w:w="2126" w:type="dxa"/>
            <w:tcBorders>
              <w:left w:val="single" w:color="FFFFFF" w:sz="6" w:space="0"/>
              <w:right w:val="single" w:color="FFFFFF" w:sz="6" w:space="0"/>
            </w:tcBorders>
            <w:shd w:val="clear" w:color="auto" w:fill="E2F4FD"/>
            <w:noWrap w:val="0"/>
            <w:vAlign w:val="center"/>
          </w:tcPr>
          <w:p>
            <w:pPr>
              <w:adjustRightInd w:val="0"/>
              <w:snapToGrid w:val="0"/>
              <w:jc w:val="center"/>
              <w:rPr>
                <w:color w:val="auto"/>
                <w:kern w:val="2"/>
                <w:sz w:val="21"/>
                <w:szCs w:val="21"/>
                <w:lang w:val="en-US" w:eastAsia="zh-CN" w:bidi="ar-SA"/>
              </w:rPr>
            </w:pPr>
            <w:r>
              <w:rPr>
                <w:rFonts w:hint="eastAsia"/>
                <w:color w:val="auto"/>
                <w:szCs w:val="21"/>
              </w:rPr>
              <w:t>328</w:t>
            </w:r>
          </w:p>
        </w:tc>
        <w:tc>
          <w:tcPr>
            <w:tcW w:w="2268" w:type="dxa"/>
            <w:tcBorders>
              <w:left w:val="single" w:color="FFFFFF" w:sz="6" w:space="0"/>
              <w:right w:val="single" w:color="FFFFFF" w:sz="6" w:space="0"/>
            </w:tcBorders>
            <w:shd w:val="clear" w:color="auto" w:fill="E2F4FD"/>
            <w:noWrap w:val="0"/>
            <w:vAlign w:val="center"/>
          </w:tcPr>
          <w:p>
            <w:pPr>
              <w:adjustRightInd w:val="0"/>
              <w:snapToGrid w:val="0"/>
              <w:jc w:val="center"/>
              <w:rPr>
                <w:color w:val="auto"/>
                <w:kern w:val="2"/>
                <w:sz w:val="21"/>
                <w:szCs w:val="21"/>
                <w:lang w:val="en-US" w:eastAsia="zh-CN" w:bidi="ar-SA"/>
              </w:rPr>
            </w:pPr>
            <w:r>
              <w:rPr>
                <w:rFonts w:hint="eastAsia"/>
                <w:color w:val="auto"/>
                <w:szCs w:val="21"/>
                <w:lang w:val="en-US" w:eastAsia="zh-CN"/>
              </w:rPr>
              <w:t>9月</w:t>
            </w:r>
            <w:r>
              <w:rPr>
                <w:rFonts w:hint="eastAsia"/>
                <w:color w:val="auto"/>
                <w:szCs w:val="21"/>
              </w:rPr>
              <w:t>14日11:03</w:t>
            </w:r>
          </w:p>
        </w:tc>
        <w:tc>
          <w:tcPr>
            <w:tcW w:w="2127" w:type="dxa"/>
            <w:shd w:val="clear" w:color="auto" w:fill="E2F4FD"/>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rPr>
              <w:t>蓝色</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B9E6FB"/>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lang w:eastAsia="zh-CN"/>
              </w:rPr>
              <w:t>舟山</w:t>
            </w:r>
            <w:r>
              <w:rPr>
                <w:rFonts w:hint="eastAsia"/>
                <w:color w:val="auto"/>
                <w:szCs w:val="21"/>
              </w:rPr>
              <w:t>六横站</w:t>
            </w:r>
          </w:p>
        </w:tc>
        <w:tc>
          <w:tcPr>
            <w:tcW w:w="2126" w:type="dxa"/>
            <w:tcBorders>
              <w:left w:val="single" w:color="FFFFFF" w:sz="6" w:space="0"/>
              <w:right w:val="single" w:color="FFFFFF" w:sz="6" w:space="0"/>
            </w:tcBorders>
            <w:shd w:val="clear" w:color="auto" w:fill="B9E6FB"/>
            <w:noWrap w:val="0"/>
            <w:vAlign w:val="center"/>
          </w:tcPr>
          <w:p>
            <w:pPr>
              <w:adjustRightInd w:val="0"/>
              <w:snapToGrid w:val="0"/>
              <w:jc w:val="center"/>
              <w:rPr>
                <w:color w:val="auto"/>
                <w:kern w:val="2"/>
                <w:sz w:val="21"/>
                <w:szCs w:val="21"/>
                <w:lang w:val="en-US" w:eastAsia="zh-CN" w:bidi="ar-SA"/>
              </w:rPr>
            </w:pPr>
            <w:r>
              <w:rPr>
                <w:rFonts w:hint="eastAsia"/>
                <w:color w:val="auto"/>
                <w:szCs w:val="21"/>
              </w:rPr>
              <w:t>276</w:t>
            </w:r>
          </w:p>
        </w:tc>
        <w:tc>
          <w:tcPr>
            <w:tcW w:w="2268" w:type="dxa"/>
            <w:tcBorders>
              <w:left w:val="single" w:color="FFFFFF" w:sz="6" w:space="0"/>
              <w:right w:val="single" w:color="FFFFFF" w:sz="6" w:space="0"/>
            </w:tcBorders>
            <w:shd w:val="clear" w:color="auto" w:fill="B9E6FB"/>
            <w:noWrap w:val="0"/>
            <w:vAlign w:val="center"/>
          </w:tcPr>
          <w:p>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9月</w:t>
            </w:r>
            <w:r>
              <w:rPr>
                <w:rFonts w:hint="eastAsia"/>
                <w:color w:val="auto"/>
                <w:szCs w:val="21"/>
              </w:rPr>
              <w:t>14日1</w:t>
            </w:r>
            <w:r>
              <w:rPr>
                <w:rFonts w:hint="eastAsia"/>
                <w:color w:val="auto"/>
                <w:szCs w:val="21"/>
                <w:lang w:val="en-US" w:eastAsia="zh-CN"/>
              </w:rPr>
              <w:t>1</w:t>
            </w:r>
            <w:r>
              <w:rPr>
                <w:rFonts w:hint="eastAsia"/>
                <w:color w:val="auto"/>
                <w:szCs w:val="21"/>
              </w:rPr>
              <w:t>:</w:t>
            </w:r>
            <w:r>
              <w:rPr>
                <w:rFonts w:hint="eastAsia"/>
                <w:color w:val="auto"/>
                <w:szCs w:val="21"/>
                <w:lang w:val="en-US" w:eastAsia="zh-CN"/>
              </w:rPr>
              <w:t>29</w:t>
            </w:r>
          </w:p>
        </w:tc>
        <w:tc>
          <w:tcPr>
            <w:tcW w:w="2127" w:type="dxa"/>
            <w:shd w:val="clear" w:color="auto" w:fill="B9E6FB"/>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rPr>
              <w:t>蓝色</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E2F4FD"/>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rPr>
              <w:t>舟山站</w:t>
            </w:r>
          </w:p>
        </w:tc>
        <w:tc>
          <w:tcPr>
            <w:tcW w:w="2126" w:type="dxa"/>
            <w:tcBorders>
              <w:left w:val="single" w:color="FFFFFF" w:sz="6" w:space="0"/>
              <w:right w:val="single" w:color="FFFFFF" w:sz="6" w:space="0"/>
            </w:tcBorders>
            <w:shd w:val="clear" w:color="auto" w:fill="E2F4FD"/>
            <w:noWrap w:val="0"/>
            <w:vAlign w:val="center"/>
          </w:tcPr>
          <w:p>
            <w:pPr>
              <w:adjustRightInd w:val="0"/>
              <w:snapToGrid w:val="0"/>
              <w:jc w:val="center"/>
              <w:rPr>
                <w:color w:val="auto"/>
                <w:kern w:val="2"/>
                <w:sz w:val="21"/>
                <w:szCs w:val="21"/>
                <w:lang w:val="en-US" w:eastAsia="zh-CN" w:bidi="ar-SA"/>
              </w:rPr>
            </w:pPr>
            <w:r>
              <w:rPr>
                <w:rFonts w:hint="eastAsia"/>
                <w:color w:val="auto"/>
                <w:szCs w:val="21"/>
              </w:rPr>
              <w:t>244</w:t>
            </w:r>
          </w:p>
        </w:tc>
        <w:tc>
          <w:tcPr>
            <w:tcW w:w="2268" w:type="dxa"/>
            <w:tcBorders>
              <w:left w:val="single" w:color="FFFFFF" w:sz="6" w:space="0"/>
              <w:right w:val="single" w:color="FFFFFF" w:sz="6" w:space="0"/>
            </w:tcBorders>
            <w:shd w:val="clear" w:color="auto" w:fill="E2F4FD"/>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lang w:val="en-US" w:eastAsia="zh-CN"/>
              </w:rPr>
              <w:t>9月</w:t>
            </w:r>
            <w:r>
              <w:rPr>
                <w:rFonts w:hint="eastAsia"/>
                <w:color w:val="auto"/>
                <w:szCs w:val="21"/>
              </w:rPr>
              <w:t>14日11:41</w:t>
            </w:r>
          </w:p>
        </w:tc>
        <w:tc>
          <w:tcPr>
            <w:tcW w:w="2127" w:type="dxa"/>
            <w:shd w:val="clear" w:color="auto" w:fill="E2F4FD"/>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rPr>
              <w:t>蓝色</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1" w:type="dxa"/>
            <w:shd w:val="clear" w:color="auto" w:fill="B9E6FB"/>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lang w:eastAsia="zh-CN"/>
              </w:rPr>
              <w:t>宁波</w:t>
            </w:r>
            <w:r>
              <w:rPr>
                <w:rFonts w:hint="eastAsia"/>
                <w:color w:val="auto"/>
                <w:szCs w:val="21"/>
              </w:rPr>
              <w:t>北仑站</w:t>
            </w:r>
          </w:p>
        </w:tc>
        <w:tc>
          <w:tcPr>
            <w:tcW w:w="2126" w:type="dxa"/>
            <w:tcBorders>
              <w:left w:val="single" w:color="FFFFFF" w:sz="6" w:space="0"/>
              <w:right w:val="single" w:color="FFFFFF" w:sz="6" w:space="0"/>
            </w:tcBorders>
            <w:shd w:val="clear" w:color="auto" w:fill="B9E6FB"/>
            <w:noWrap w:val="0"/>
            <w:vAlign w:val="center"/>
          </w:tcPr>
          <w:p>
            <w:pPr>
              <w:adjustRightInd w:val="0"/>
              <w:snapToGrid w:val="0"/>
              <w:jc w:val="center"/>
              <w:rPr>
                <w:rFonts w:hint="eastAsia" w:eastAsia="宋体"/>
                <w:color w:val="auto"/>
                <w:kern w:val="2"/>
                <w:sz w:val="21"/>
                <w:szCs w:val="21"/>
                <w:lang w:val="en-US" w:eastAsia="zh-CN" w:bidi="ar-SA"/>
              </w:rPr>
            </w:pPr>
            <w:r>
              <w:rPr>
                <w:rFonts w:hint="eastAsia"/>
                <w:color w:val="auto"/>
                <w:szCs w:val="21"/>
              </w:rPr>
              <w:t>22</w:t>
            </w:r>
            <w:r>
              <w:rPr>
                <w:rFonts w:hint="eastAsia"/>
                <w:color w:val="auto"/>
                <w:szCs w:val="21"/>
                <w:lang w:val="en-US" w:eastAsia="zh-CN"/>
              </w:rPr>
              <w:t>8</w:t>
            </w:r>
          </w:p>
        </w:tc>
        <w:tc>
          <w:tcPr>
            <w:tcW w:w="2268" w:type="dxa"/>
            <w:tcBorders>
              <w:left w:val="single" w:color="FFFFFF" w:sz="6" w:space="0"/>
              <w:right w:val="single" w:color="FFFFFF" w:sz="6" w:space="0"/>
            </w:tcBorders>
            <w:shd w:val="clear" w:color="auto" w:fill="B9E6FB"/>
            <w:noWrap w:val="0"/>
            <w:vAlign w:val="center"/>
          </w:tcPr>
          <w:p>
            <w:pPr>
              <w:adjustRightInd w:val="0"/>
              <w:snapToGrid w:val="0"/>
              <w:jc w:val="center"/>
              <w:rPr>
                <w:rFonts w:hint="default" w:eastAsia="宋体"/>
                <w:color w:val="auto"/>
                <w:kern w:val="2"/>
                <w:sz w:val="21"/>
                <w:szCs w:val="21"/>
                <w:lang w:val="en-US" w:eastAsia="zh-CN" w:bidi="ar-SA"/>
              </w:rPr>
            </w:pPr>
            <w:r>
              <w:rPr>
                <w:rFonts w:hint="eastAsia"/>
                <w:color w:val="auto"/>
                <w:szCs w:val="21"/>
                <w:lang w:val="en-US" w:eastAsia="zh-CN"/>
              </w:rPr>
              <w:t>9月</w:t>
            </w:r>
            <w:r>
              <w:rPr>
                <w:rFonts w:hint="eastAsia"/>
                <w:color w:val="auto"/>
                <w:szCs w:val="21"/>
              </w:rPr>
              <w:t>1</w:t>
            </w:r>
            <w:r>
              <w:rPr>
                <w:rFonts w:hint="eastAsia"/>
                <w:color w:val="auto"/>
                <w:szCs w:val="21"/>
                <w:lang w:val="en-US" w:eastAsia="zh-CN"/>
              </w:rPr>
              <w:t>4</w:t>
            </w:r>
            <w:r>
              <w:rPr>
                <w:rFonts w:hint="eastAsia"/>
                <w:color w:val="auto"/>
                <w:szCs w:val="21"/>
              </w:rPr>
              <w:t>日11:</w:t>
            </w:r>
            <w:r>
              <w:rPr>
                <w:rFonts w:hint="eastAsia"/>
                <w:color w:val="auto"/>
                <w:szCs w:val="21"/>
                <w:lang w:val="en-US" w:eastAsia="zh-CN"/>
              </w:rPr>
              <w:t>51</w:t>
            </w:r>
          </w:p>
        </w:tc>
        <w:tc>
          <w:tcPr>
            <w:tcW w:w="2127" w:type="dxa"/>
            <w:shd w:val="clear" w:color="auto" w:fill="B9E6FB"/>
            <w:noWrap w:val="0"/>
            <w:vAlign w:val="center"/>
          </w:tcPr>
          <w:p>
            <w:pPr>
              <w:adjustRightInd w:val="0"/>
              <w:snapToGrid w:val="0"/>
              <w:jc w:val="center"/>
              <w:rPr>
                <w:rFonts w:hint="eastAsia"/>
                <w:color w:val="auto"/>
                <w:kern w:val="2"/>
                <w:sz w:val="21"/>
                <w:szCs w:val="21"/>
                <w:lang w:val="en-US" w:eastAsia="zh-CN" w:bidi="ar-SA"/>
              </w:rPr>
            </w:pPr>
            <w:r>
              <w:rPr>
                <w:rFonts w:hint="eastAsia"/>
                <w:color w:val="auto"/>
                <w:szCs w:val="21"/>
              </w:rPr>
              <w:t>蓝色</w:t>
            </w:r>
          </w:p>
        </w:tc>
      </w:tr>
    </w:tbl>
    <w:p>
      <w:pPr>
        <w:adjustRightInd w:val="0"/>
        <w:snapToGrid w:val="0"/>
        <w:spacing w:before="0" w:beforeLines="0" w:after="0" w:afterLines="0"/>
        <w:jc w:val="left"/>
        <w:rPr>
          <w:rFonts w:hint="default" w:ascii="宋体" w:hAnsi="宋体" w:eastAsia="宋体" w:cs="Times New Roman"/>
          <w:sz w:val="21"/>
          <w:szCs w:val="18"/>
          <w:lang w:eastAsia="zh-CN"/>
        </w:rPr>
      </w:pPr>
      <w:r>
        <w:rPr>
          <w:rFonts w:hint="default" w:ascii="宋体" w:hAnsi="宋体" w:eastAsia="宋体" w:cs="Times New Roman"/>
          <w:sz w:val="21"/>
          <w:szCs w:val="18"/>
          <w:lang w:eastAsia="zh-CN"/>
        </w:rPr>
        <w:t>注：</w:t>
      </w:r>
      <w:r>
        <w:rPr>
          <w:rFonts w:hint="eastAsia" w:ascii="宋体" w:hAnsi="宋体" w:eastAsia="宋体" w:cs="Times New Roman"/>
          <w:sz w:val="21"/>
          <w:szCs w:val="18"/>
          <w:lang w:eastAsia="zh-CN"/>
        </w:rPr>
        <w:t>本公报中所有潮位数据采用的基面均为</w:t>
      </w:r>
      <w:r>
        <w:rPr>
          <w:rFonts w:hint="eastAsia" w:ascii="宋体" w:hAnsi="宋体" w:eastAsia="宋体" w:cs="Times New Roman"/>
          <w:sz w:val="21"/>
          <w:szCs w:val="18"/>
          <w:lang w:val="en-US" w:eastAsia="zh-CN"/>
        </w:rPr>
        <w:t>1985国家高程基准一期。</w:t>
      </w:r>
    </w:p>
    <w:p>
      <w:pPr>
        <w:keepNext w:val="0"/>
        <w:keepLines w:val="0"/>
        <w:pageBreakBefore w:val="0"/>
        <w:widowControl w:val="0"/>
        <w:kinsoku/>
        <w:wordWrap/>
        <w:overflowPunct/>
        <w:topLinePunct w:val="0"/>
        <w:autoSpaceDE/>
        <w:autoSpaceDN/>
        <w:bidi w:val="0"/>
        <w:adjustRightInd/>
        <w:snapToGrid/>
        <w:spacing w:before="156" w:beforeLines="50"/>
        <w:ind w:firstLine="600" w:firstLineChars="200"/>
        <w:textAlignment w:val="auto"/>
        <w:rPr>
          <w:rFonts w:hint="eastAsia"/>
          <w:color w:val="000000"/>
          <w:sz w:val="30"/>
          <w:szCs w:val="30"/>
        </w:rPr>
      </w:pPr>
      <w:r>
        <w:rPr>
          <w:rFonts w:hint="eastAsia"/>
          <w:color w:val="000000"/>
          <w:sz w:val="30"/>
          <w:szCs w:val="30"/>
          <w:lang w:eastAsia="zh-CN"/>
        </w:rPr>
        <w:t>受</w:t>
      </w:r>
      <w:r>
        <w:rPr>
          <w:rFonts w:hint="eastAsia"/>
          <w:color w:val="000000"/>
          <w:sz w:val="30"/>
          <w:szCs w:val="30"/>
        </w:rPr>
        <w:t>“梅花”台风风暴潮</w:t>
      </w:r>
      <w:r>
        <w:rPr>
          <w:rFonts w:hint="eastAsia"/>
          <w:color w:val="000000"/>
          <w:sz w:val="30"/>
          <w:szCs w:val="30"/>
          <w:lang w:eastAsia="zh-CN"/>
        </w:rPr>
        <w:t>和近岸浪的共同影响，全省</w:t>
      </w:r>
      <w:r>
        <w:rPr>
          <w:rFonts w:hint="eastAsia"/>
          <w:color w:val="000000"/>
          <w:sz w:val="30"/>
          <w:szCs w:val="30"/>
        </w:rPr>
        <w:t>水产养殖受灾面积6 365.27公顷，损失</w:t>
      </w:r>
      <w:r>
        <w:rPr>
          <w:rFonts w:hint="eastAsia"/>
          <w:color w:val="000000"/>
          <w:sz w:val="30"/>
          <w:szCs w:val="30"/>
          <w:lang w:eastAsia="zh-CN"/>
        </w:rPr>
        <w:t>产量</w:t>
      </w:r>
      <w:r>
        <w:rPr>
          <w:rFonts w:hint="eastAsia"/>
          <w:color w:val="000000"/>
          <w:sz w:val="30"/>
          <w:szCs w:val="30"/>
        </w:rPr>
        <w:t>3 423.70吨，渔港损坏30座，港口损坏29座，船只损坏258艘，码头损坏1座，海堤护岸损坏3 373米，直接经济损失26 917.79万元，未造成人员死亡失踪。</w:t>
      </w:r>
    </w:p>
    <w:p>
      <w:pPr>
        <w:keepNext w:val="0"/>
        <w:keepLines w:val="0"/>
        <w:pageBreakBefore w:val="0"/>
        <w:widowControl w:val="0"/>
        <w:kinsoku/>
        <w:wordWrap/>
        <w:overflowPunct/>
        <w:topLinePunct w:val="0"/>
        <w:autoSpaceDE/>
        <w:autoSpaceDN/>
        <w:bidi w:val="0"/>
        <w:adjustRightInd/>
        <w:snapToGrid/>
        <w:spacing w:before="156" w:beforeLines="50"/>
        <w:jc w:val="center"/>
        <w:textAlignment w:val="auto"/>
        <w:rPr>
          <w:rFonts w:ascii="Times New Roman" w:hAnsi="Times New Roman"/>
        </w:rPr>
      </w:pPr>
      <w:r>
        <w:rPr>
          <w:rFonts w:ascii="Times New Roman" w:hAnsi="Times New Roman"/>
        </w:rPr>
        <w:drawing>
          <wp:inline distT="0" distB="0" distL="114300" distR="114300">
            <wp:extent cx="2520315" cy="1644650"/>
            <wp:effectExtent l="9525" t="9525" r="22860" b="22225"/>
            <wp:docPr id="8" name="图片 9" descr="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9" descr="9"/>
                    <pic:cNvPicPr>
                      <a:picLocks noChangeAspect="true"/>
                    </pic:cNvPicPr>
                  </pic:nvPicPr>
                  <pic:blipFill>
                    <a:blip r:embed="rId18"/>
                    <a:srcRect t="12561"/>
                    <a:stretch>
                      <a:fillRect/>
                    </a:stretch>
                  </pic:blipFill>
                  <pic:spPr>
                    <a:xfrm>
                      <a:off x="0" y="0"/>
                      <a:ext cx="2520315" cy="1644650"/>
                    </a:xfrm>
                    <a:prstGeom prst="rect">
                      <a:avLst/>
                    </a:prstGeom>
                    <a:noFill/>
                    <a:ln w="6350" cap="flat" cmpd="sng">
                      <a:solidFill>
                        <a:srgbClr val="000000"/>
                      </a:solidFill>
                      <a:prstDash val="solid"/>
                      <a:miter/>
                      <a:headEnd type="none" w="med" len="med"/>
                      <a:tailEnd type="none" w="med" len="med"/>
                    </a:ln>
                  </pic:spPr>
                </pic:pic>
              </a:graphicData>
            </a:graphic>
          </wp:inline>
        </w:drawing>
      </w:r>
      <w:r>
        <w:rPr>
          <w:rFonts w:hint="eastAsia" w:ascii="Times New Roman" w:hAnsi="Times New Roman"/>
          <w:lang w:val="en-US" w:eastAsia="zh-CN"/>
        </w:rPr>
        <w:t xml:space="preserve"> </w:t>
      </w:r>
      <w:r>
        <w:rPr>
          <w:rFonts w:hint="eastAsia" w:ascii="Times New Roman" w:hAnsi="Times New Roman"/>
          <w:lang w:val="en-US" w:eastAsia="zh"/>
        </w:rPr>
        <w:t xml:space="preserve"> </w:t>
      </w:r>
      <w:r>
        <w:rPr>
          <w:rFonts w:ascii="Times New Roman" w:hAnsi="Times New Roman"/>
        </w:rPr>
        <w:drawing>
          <wp:inline distT="0" distB="0" distL="114300" distR="114300">
            <wp:extent cx="2520315" cy="1645285"/>
            <wp:effectExtent l="9525" t="9525" r="22860" b="21590"/>
            <wp:docPr id="9" name="图片 10" descr="姚江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0" descr="姚江22"/>
                    <pic:cNvPicPr>
                      <a:picLocks noChangeAspect="true"/>
                    </pic:cNvPicPr>
                  </pic:nvPicPr>
                  <pic:blipFill>
                    <a:blip r:embed="rId19"/>
                    <a:srcRect b="2333"/>
                    <a:stretch>
                      <a:fillRect/>
                    </a:stretch>
                  </pic:blipFill>
                  <pic:spPr>
                    <a:xfrm>
                      <a:off x="0" y="0"/>
                      <a:ext cx="2520315" cy="1645285"/>
                    </a:xfrm>
                    <a:prstGeom prst="rect">
                      <a:avLst/>
                    </a:prstGeom>
                    <a:noFill/>
                    <a:ln w="6350" cap="flat" cmpd="sng">
                      <a:solidFill>
                        <a:srgbClr val="000000"/>
                      </a:solidFill>
                      <a:prstDash val="solid"/>
                      <a:miter/>
                      <a:headEnd type="none" w="med" len="med"/>
                      <a:tailEnd type="none" w="med" len="med"/>
                    </a:ln>
                  </pic:spPr>
                </pic:pic>
              </a:graphicData>
            </a:graphic>
          </wp:inline>
        </w:drawing>
      </w:r>
    </w:p>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lang w:eastAsia="zh-CN"/>
        </w:rPr>
        <w:t>图</w:t>
      </w:r>
      <w:r>
        <w:rPr>
          <w:rFonts w:hint="eastAsia" w:ascii="Times New Roman" w:hAnsi="Times New Roman" w:eastAsia="宋体" w:cs="Times New Roman"/>
          <w:sz w:val="24"/>
          <w:lang w:val="en-US" w:eastAsia="zh-CN"/>
        </w:rPr>
        <w:t xml:space="preserve">3 </w:t>
      </w:r>
      <w:r>
        <w:rPr>
          <w:rFonts w:ascii="Times New Roman" w:hAnsi="Times New Roman" w:eastAsia="宋体" w:cs="Times New Roman"/>
          <w:sz w:val="24"/>
        </w:rPr>
        <w:t>宁波镇海</w:t>
      </w:r>
      <w:r>
        <w:rPr>
          <w:rFonts w:hint="eastAsia" w:ascii="Times New Roman" w:hAnsi="Times New Roman" w:eastAsia="宋体" w:cs="Times New Roman"/>
          <w:sz w:val="24"/>
          <w:lang w:eastAsia="zh-CN"/>
        </w:rPr>
        <w:t>江滨公园</w:t>
      </w:r>
      <w:r>
        <w:rPr>
          <w:rFonts w:ascii="Times New Roman" w:hAnsi="Times New Roman" w:eastAsia="宋体" w:cs="Times New Roman"/>
          <w:sz w:val="24"/>
        </w:rPr>
        <w:t>受淹</w:t>
      </w:r>
      <w:r>
        <w:rPr>
          <w:rFonts w:hint="eastAsia" w:ascii="Times New Roman" w:hAnsi="Times New Roman" w:eastAsia="宋体" w:cs="Times New Roman"/>
          <w:sz w:val="24"/>
          <w:lang w:val="en-US" w:eastAsia="zh-CN"/>
        </w:rPr>
        <w:t xml:space="preserve">          图4 </w:t>
      </w:r>
      <w:r>
        <w:rPr>
          <w:rFonts w:hint="eastAsia" w:ascii="Times New Roman" w:hAnsi="Times New Roman" w:eastAsia="宋体" w:cs="Times New Roman"/>
          <w:sz w:val="24"/>
        </w:rPr>
        <w:t>宁波</w:t>
      </w:r>
      <w:r>
        <w:rPr>
          <w:rFonts w:hint="eastAsia" w:ascii="Times New Roman" w:hAnsi="Times New Roman" w:eastAsia="宋体" w:cs="Times New Roman"/>
          <w:sz w:val="24"/>
          <w:lang w:eastAsia="zh-CN"/>
        </w:rPr>
        <w:t>三江口</w:t>
      </w:r>
      <w:r>
        <w:rPr>
          <w:rFonts w:hint="eastAsia" w:ascii="Times New Roman" w:hAnsi="Times New Roman" w:eastAsia="宋体" w:cs="Times New Roman"/>
          <w:sz w:val="24"/>
        </w:rPr>
        <w:t>道路受淹</w:t>
      </w:r>
    </w:p>
    <w:p>
      <w:pPr>
        <w:spacing w:before="156" w:beforeLines="50" w:after="156" w:afterLines="50"/>
        <w:rPr>
          <w:rFonts w:hint="eastAsia"/>
          <w:sz w:val="30"/>
          <w:szCs w:val="30"/>
        </w:rPr>
      </w:pPr>
      <w:r>
        <w:rPr>
          <w:sz w:val="30"/>
          <w:szCs w:val="30"/>
        </w:rPr>
        <mc:AlternateContent>
          <mc:Choice Requires="wps">
            <w:drawing>
              <wp:inline distT="0" distB="0" distL="114300" distR="114300">
                <wp:extent cx="5596255" cy="1277620"/>
                <wp:effectExtent l="6350" t="6350" r="17145" b="11430"/>
                <wp:docPr id="3" name="文本框 19"/>
                <wp:cNvGraphicFramePr/>
                <a:graphic xmlns:a="http://schemas.openxmlformats.org/drawingml/2006/main">
                  <a:graphicData uri="http://schemas.microsoft.com/office/word/2010/wordprocessingShape">
                    <wps:wsp>
                      <wps:cNvSpPr txBox="true">
                        <a:spLocks noRot="true"/>
                      </wps:cNvSpPr>
                      <wps:spPr>
                        <a:xfrm>
                          <a:off x="0" y="0"/>
                          <a:ext cx="5596255" cy="1277620"/>
                        </a:xfrm>
                        <a:prstGeom prst="rect">
                          <a:avLst/>
                        </a:prstGeom>
                        <a:gradFill rotWithShape="true">
                          <a:gsLst>
                            <a:gs pos="0">
                              <a:srgbClr val="F2DBDB"/>
                            </a:gs>
                            <a:gs pos="100000">
                              <a:srgbClr val="FFFFFF"/>
                            </a:gs>
                          </a:gsLst>
                          <a:lin ang="5400000" scaled="true"/>
                          <a:tileRect/>
                        </a:gradFill>
                        <a:ln w="12700" cap="flat" cmpd="sng">
                          <a:solidFill>
                            <a:srgbClr val="484329"/>
                          </a:solidFill>
                          <a:prstDash val="solid"/>
                          <a:miter/>
                          <a:headEnd type="none" w="med" len="med"/>
                          <a:tailEnd type="none" w="med" len="med"/>
                        </a:ln>
                      </wps:spPr>
                      <wps:txbx>
                        <w:txbxContent>
                          <w:p>
                            <w:pPr>
                              <w:pStyle w:val="16"/>
                              <w:keepNext w:val="0"/>
                              <w:keepLines w:val="0"/>
                              <w:pageBreakBefore w:val="0"/>
                              <w:kinsoku/>
                              <w:wordWrap/>
                              <w:overflowPunct/>
                              <w:topLinePunct w:val="0"/>
                              <w:autoSpaceDE/>
                              <w:autoSpaceDN/>
                              <w:bidi w:val="0"/>
                              <w:adjustRightInd/>
                              <w:snapToGrid/>
                              <w:spacing w:line="360" w:lineRule="exact"/>
                              <w:ind w:firstLine="435"/>
                              <w:jc w:val="both"/>
                              <w:textAlignment w:val="auto"/>
                              <w:rPr>
                                <w:rFonts w:ascii="Times New Roman" w:hAnsi="Times New Roman"/>
                                <w:color w:val="FF0000"/>
                                <w:kern w:val="2"/>
                                <w:sz w:val="21"/>
                                <w:szCs w:val="21"/>
                              </w:rPr>
                            </w:pPr>
                            <w:r>
                              <w:rPr>
                                <w:rFonts w:ascii="Times New Roman"/>
                                <w:kern w:val="2"/>
                                <w:sz w:val="21"/>
                                <w:szCs w:val="21"/>
                              </w:rPr>
                              <w:t>影响浙江海域的热带气旋</w:t>
                            </w:r>
                            <w:r>
                              <w:rPr>
                                <w:rFonts w:hint="eastAsia" w:ascii="Times New Roman"/>
                                <w:kern w:val="2"/>
                                <w:sz w:val="21"/>
                                <w:szCs w:val="21"/>
                              </w:rPr>
                              <w:t>：受热带气旋影响，</w:t>
                            </w:r>
                            <w:r>
                              <w:rPr>
                                <w:rFonts w:ascii="Times New Roman"/>
                                <w:kern w:val="2"/>
                                <w:sz w:val="21"/>
                                <w:szCs w:val="21"/>
                              </w:rPr>
                              <w:t>浙江</w:t>
                            </w:r>
                            <w:r>
                              <w:rPr>
                                <w:rFonts w:hint="eastAsia" w:ascii="Times New Roman"/>
                                <w:kern w:val="2"/>
                                <w:sz w:val="21"/>
                                <w:szCs w:val="21"/>
                              </w:rPr>
                              <w:t>近岸</w:t>
                            </w:r>
                            <w:r>
                              <w:rPr>
                                <w:rFonts w:ascii="Times New Roman"/>
                                <w:kern w:val="2"/>
                                <w:sz w:val="21"/>
                                <w:szCs w:val="21"/>
                              </w:rPr>
                              <w:t>海域有效波高达到</w:t>
                            </w:r>
                            <w:r>
                              <w:rPr>
                                <w:rFonts w:ascii="Times New Roman" w:hAnsi="Times New Roman"/>
                                <w:kern w:val="2"/>
                                <w:sz w:val="21"/>
                                <w:szCs w:val="21"/>
                              </w:rPr>
                              <w:t>2.5</w:t>
                            </w:r>
                            <w:r>
                              <w:rPr>
                                <w:rFonts w:hint="eastAsia" w:ascii="Times New Roman" w:hAnsi="Times New Roman"/>
                                <w:kern w:val="2"/>
                                <w:sz w:val="21"/>
                                <w:szCs w:val="21"/>
                              </w:rPr>
                              <w:t>米</w:t>
                            </w:r>
                            <w:r>
                              <w:rPr>
                                <w:rFonts w:ascii="Times New Roman"/>
                                <w:kern w:val="2"/>
                                <w:sz w:val="21"/>
                                <w:szCs w:val="21"/>
                              </w:rPr>
                              <w:t>及以上，或浙江</w:t>
                            </w:r>
                            <w:r>
                              <w:rPr>
                                <w:rFonts w:hint="eastAsia" w:ascii="Times New Roman"/>
                                <w:kern w:val="2"/>
                                <w:sz w:val="21"/>
                                <w:szCs w:val="21"/>
                              </w:rPr>
                              <w:t>近海</w:t>
                            </w:r>
                            <w:r>
                              <w:rPr>
                                <w:rFonts w:ascii="Times New Roman"/>
                                <w:kern w:val="2"/>
                                <w:sz w:val="21"/>
                                <w:szCs w:val="21"/>
                              </w:rPr>
                              <w:t>海域有效波高达到</w:t>
                            </w:r>
                            <w:r>
                              <w:rPr>
                                <w:rFonts w:ascii="Times New Roman" w:hAnsi="Times New Roman"/>
                                <w:kern w:val="2"/>
                                <w:sz w:val="21"/>
                                <w:szCs w:val="21"/>
                              </w:rPr>
                              <w:t>4</w:t>
                            </w:r>
                            <w:r>
                              <w:rPr>
                                <w:rFonts w:hint="eastAsia" w:ascii="Times New Roman" w:hAnsi="Times New Roman"/>
                                <w:kern w:val="2"/>
                                <w:sz w:val="21"/>
                                <w:szCs w:val="21"/>
                              </w:rPr>
                              <w:t>米</w:t>
                            </w:r>
                            <w:r>
                              <w:rPr>
                                <w:rFonts w:ascii="Times New Roman"/>
                                <w:kern w:val="2"/>
                                <w:sz w:val="21"/>
                                <w:szCs w:val="21"/>
                              </w:rPr>
                              <w:t>及以上</w:t>
                            </w:r>
                            <w:r>
                              <w:rPr>
                                <w:rFonts w:hint="eastAsia" w:ascii="Times New Roman"/>
                                <w:kern w:val="2"/>
                                <w:sz w:val="21"/>
                                <w:szCs w:val="21"/>
                              </w:rPr>
                              <w:t>，则将此次热带气旋统计为</w:t>
                            </w:r>
                            <w:r>
                              <w:rPr>
                                <w:rFonts w:ascii="Times New Roman"/>
                                <w:kern w:val="2"/>
                                <w:sz w:val="21"/>
                                <w:szCs w:val="21"/>
                              </w:rPr>
                              <w:t>影响浙江海域的热带气旋</w:t>
                            </w:r>
                            <w:r>
                              <w:rPr>
                                <w:rFonts w:hint="eastAsia" w:ascii="Times New Roman"/>
                                <w:kern w:val="2"/>
                                <w:sz w:val="21"/>
                                <w:szCs w:val="21"/>
                              </w:rPr>
                              <w:t>。</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Ansi="宋体"/>
                                <w:szCs w:val="21"/>
                              </w:rPr>
                            </w:pPr>
                            <w:r>
                              <w:rPr>
                                <w:rFonts w:hAnsi="宋体"/>
                                <w:szCs w:val="21"/>
                              </w:rPr>
                              <w:t>20</w:t>
                            </w:r>
                            <w:r>
                              <w:rPr>
                                <w:rFonts w:hint="eastAsia" w:hAnsi="宋体"/>
                                <w:szCs w:val="21"/>
                              </w:rPr>
                              <w:t>22</w:t>
                            </w:r>
                            <w:r>
                              <w:rPr>
                                <w:rFonts w:hAnsi="宋体"/>
                                <w:szCs w:val="21"/>
                              </w:rPr>
                              <w:t>年影响浙江海域</w:t>
                            </w:r>
                            <w:r>
                              <w:rPr>
                                <w:rFonts w:hint="eastAsia" w:hAnsi="宋体"/>
                                <w:szCs w:val="21"/>
                              </w:rPr>
                              <w:t>的</w:t>
                            </w:r>
                            <w:r>
                              <w:rPr>
                                <w:rFonts w:hint="eastAsia" w:hAnsi="宋体"/>
                                <w:szCs w:val="21"/>
                                <w:lang w:val="en-US" w:eastAsia="zh"/>
                              </w:rPr>
                              <w:t>3</w:t>
                            </w:r>
                            <w:r>
                              <w:rPr>
                                <w:rFonts w:hAnsi="宋体"/>
                                <w:szCs w:val="21"/>
                              </w:rPr>
                              <w:t>个热带气旋分别为</w:t>
                            </w:r>
                            <w:r>
                              <w:rPr>
                                <w:rFonts w:hint="eastAsia" w:hAnsi="宋体"/>
                                <w:szCs w:val="21"/>
                              </w:rPr>
                              <w:t>：2211“轩岚诺”、2212“梅花”和2214“南玛都”。</w:t>
                            </w:r>
                          </w:p>
                          <w:p>
                            <w:pPr>
                              <w:spacing w:line="400" w:lineRule="exact"/>
                              <w:ind w:firstLine="420" w:firstLineChars="200"/>
                              <w:rPr>
                                <w:rFonts w:hint="eastAsia" w:hAnsi="宋体"/>
                                <w:szCs w:val="21"/>
                              </w:rPr>
                            </w:pPr>
                          </w:p>
                        </w:txbxContent>
                      </wps:txbx>
                      <wps:bodyPr vert="horz" wrap="square" anchor="t" anchorCtr="false" upright="true"/>
                    </wps:wsp>
                  </a:graphicData>
                </a:graphic>
              </wp:inline>
            </w:drawing>
          </mc:Choice>
          <mc:Fallback>
            <w:pict>
              <v:shape id="文本框 19" o:spid="_x0000_s1026" o:spt="202" type="#_x0000_t202" style="height:100.6pt;width:440.65pt;" fillcolor="#F2DBDB" filled="t" stroked="t" coordsize="21600,21600" o:gfxdata="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CRp1hn1QAAAAUBAAAP&#10;AAAAAAAAAAEAIAAAADgAAABkcnMvZG93bnJldi54bWxQSwECFAAUAAAACACHTuJAL+GvmXcCAADs&#10;BAAADgAAAAAAAAABACAAAAA6AQAAZHJzL2Uyb0RvYy54bWxQSwUGAAAAAAYABgBZAQAAIwYAAAAA&#10;">
                <v:fill type="gradient" on="t" color2="#FFFFFF" focus="100%" focussize="0,0" rotate="t"/>
                <v:stroke weight="1pt" color="#484329" joinstyle="miter"/>
                <v:imagedata o:title=""/>
                <o:lock v:ext="edit" rotation="t" aspectratio="f"/>
                <v:textbox>
                  <w:txbxContent>
                    <w:p>
                      <w:pPr>
                        <w:pStyle w:val="16"/>
                        <w:keepNext w:val="0"/>
                        <w:keepLines w:val="0"/>
                        <w:pageBreakBefore w:val="0"/>
                        <w:kinsoku/>
                        <w:wordWrap/>
                        <w:overflowPunct/>
                        <w:topLinePunct w:val="0"/>
                        <w:autoSpaceDE/>
                        <w:autoSpaceDN/>
                        <w:bidi w:val="0"/>
                        <w:adjustRightInd/>
                        <w:snapToGrid/>
                        <w:spacing w:line="360" w:lineRule="exact"/>
                        <w:ind w:firstLine="435"/>
                        <w:jc w:val="both"/>
                        <w:textAlignment w:val="auto"/>
                        <w:rPr>
                          <w:rFonts w:ascii="Times New Roman" w:hAnsi="Times New Roman"/>
                          <w:color w:val="FF0000"/>
                          <w:kern w:val="2"/>
                          <w:sz w:val="21"/>
                          <w:szCs w:val="21"/>
                        </w:rPr>
                      </w:pPr>
                      <w:r>
                        <w:rPr>
                          <w:rFonts w:ascii="Times New Roman"/>
                          <w:kern w:val="2"/>
                          <w:sz w:val="21"/>
                          <w:szCs w:val="21"/>
                        </w:rPr>
                        <w:t>影响浙江海域的热带气旋</w:t>
                      </w:r>
                      <w:r>
                        <w:rPr>
                          <w:rFonts w:hint="eastAsia" w:ascii="Times New Roman"/>
                          <w:kern w:val="2"/>
                          <w:sz w:val="21"/>
                          <w:szCs w:val="21"/>
                        </w:rPr>
                        <w:t>：受热带气旋影响，</w:t>
                      </w:r>
                      <w:r>
                        <w:rPr>
                          <w:rFonts w:ascii="Times New Roman"/>
                          <w:kern w:val="2"/>
                          <w:sz w:val="21"/>
                          <w:szCs w:val="21"/>
                        </w:rPr>
                        <w:t>浙江</w:t>
                      </w:r>
                      <w:r>
                        <w:rPr>
                          <w:rFonts w:hint="eastAsia" w:ascii="Times New Roman"/>
                          <w:kern w:val="2"/>
                          <w:sz w:val="21"/>
                          <w:szCs w:val="21"/>
                        </w:rPr>
                        <w:t>近岸</w:t>
                      </w:r>
                      <w:r>
                        <w:rPr>
                          <w:rFonts w:ascii="Times New Roman"/>
                          <w:kern w:val="2"/>
                          <w:sz w:val="21"/>
                          <w:szCs w:val="21"/>
                        </w:rPr>
                        <w:t>海域有效波高达到</w:t>
                      </w:r>
                      <w:r>
                        <w:rPr>
                          <w:rFonts w:ascii="Times New Roman" w:hAnsi="Times New Roman"/>
                          <w:kern w:val="2"/>
                          <w:sz w:val="21"/>
                          <w:szCs w:val="21"/>
                        </w:rPr>
                        <w:t>2.5</w:t>
                      </w:r>
                      <w:r>
                        <w:rPr>
                          <w:rFonts w:hint="eastAsia" w:ascii="Times New Roman" w:hAnsi="Times New Roman"/>
                          <w:kern w:val="2"/>
                          <w:sz w:val="21"/>
                          <w:szCs w:val="21"/>
                        </w:rPr>
                        <w:t>米</w:t>
                      </w:r>
                      <w:r>
                        <w:rPr>
                          <w:rFonts w:ascii="Times New Roman"/>
                          <w:kern w:val="2"/>
                          <w:sz w:val="21"/>
                          <w:szCs w:val="21"/>
                        </w:rPr>
                        <w:t>及以上，或浙江</w:t>
                      </w:r>
                      <w:r>
                        <w:rPr>
                          <w:rFonts w:hint="eastAsia" w:ascii="Times New Roman"/>
                          <w:kern w:val="2"/>
                          <w:sz w:val="21"/>
                          <w:szCs w:val="21"/>
                        </w:rPr>
                        <w:t>近海</w:t>
                      </w:r>
                      <w:r>
                        <w:rPr>
                          <w:rFonts w:ascii="Times New Roman"/>
                          <w:kern w:val="2"/>
                          <w:sz w:val="21"/>
                          <w:szCs w:val="21"/>
                        </w:rPr>
                        <w:t>海域有效波高达到</w:t>
                      </w:r>
                      <w:r>
                        <w:rPr>
                          <w:rFonts w:ascii="Times New Roman" w:hAnsi="Times New Roman"/>
                          <w:kern w:val="2"/>
                          <w:sz w:val="21"/>
                          <w:szCs w:val="21"/>
                        </w:rPr>
                        <w:t>4</w:t>
                      </w:r>
                      <w:r>
                        <w:rPr>
                          <w:rFonts w:hint="eastAsia" w:ascii="Times New Roman" w:hAnsi="Times New Roman"/>
                          <w:kern w:val="2"/>
                          <w:sz w:val="21"/>
                          <w:szCs w:val="21"/>
                        </w:rPr>
                        <w:t>米</w:t>
                      </w:r>
                      <w:r>
                        <w:rPr>
                          <w:rFonts w:ascii="Times New Roman"/>
                          <w:kern w:val="2"/>
                          <w:sz w:val="21"/>
                          <w:szCs w:val="21"/>
                        </w:rPr>
                        <w:t>及以上</w:t>
                      </w:r>
                      <w:r>
                        <w:rPr>
                          <w:rFonts w:hint="eastAsia" w:ascii="Times New Roman"/>
                          <w:kern w:val="2"/>
                          <w:sz w:val="21"/>
                          <w:szCs w:val="21"/>
                        </w:rPr>
                        <w:t>，则将此次热带气旋统计为</w:t>
                      </w:r>
                      <w:r>
                        <w:rPr>
                          <w:rFonts w:ascii="Times New Roman"/>
                          <w:kern w:val="2"/>
                          <w:sz w:val="21"/>
                          <w:szCs w:val="21"/>
                        </w:rPr>
                        <w:t>影响浙江海域的热带气旋</w:t>
                      </w:r>
                      <w:r>
                        <w:rPr>
                          <w:rFonts w:hint="eastAsia" w:ascii="Times New Roman"/>
                          <w:kern w:val="2"/>
                          <w:sz w:val="21"/>
                          <w:szCs w:val="21"/>
                        </w:rPr>
                        <w:t>。</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Ansi="宋体"/>
                          <w:szCs w:val="21"/>
                        </w:rPr>
                      </w:pPr>
                      <w:r>
                        <w:rPr>
                          <w:rFonts w:hAnsi="宋体"/>
                          <w:szCs w:val="21"/>
                        </w:rPr>
                        <w:t>20</w:t>
                      </w:r>
                      <w:r>
                        <w:rPr>
                          <w:rFonts w:hint="eastAsia" w:hAnsi="宋体"/>
                          <w:szCs w:val="21"/>
                        </w:rPr>
                        <w:t>22</w:t>
                      </w:r>
                      <w:r>
                        <w:rPr>
                          <w:rFonts w:hAnsi="宋体"/>
                          <w:szCs w:val="21"/>
                        </w:rPr>
                        <w:t>年影响浙江海域</w:t>
                      </w:r>
                      <w:r>
                        <w:rPr>
                          <w:rFonts w:hint="eastAsia" w:hAnsi="宋体"/>
                          <w:szCs w:val="21"/>
                        </w:rPr>
                        <w:t>的</w:t>
                      </w:r>
                      <w:r>
                        <w:rPr>
                          <w:rFonts w:hint="eastAsia" w:hAnsi="宋体"/>
                          <w:szCs w:val="21"/>
                          <w:lang w:val="en-US" w:eastAsia="zh"/>
                        </w:rPr>
                        <w:t>3</w:t>
                      </w:r>
                      <w:r>
                        <w:rPr>
                          <w:rFonts w:hAnsi="宋体"/>
                          <w:szCs w:val="21"/>
                        </w:rPr>
                        <w:t>个热带气旋分别为</w:t>
                      </w:r>
                      <w:r>
                        <w:rPr>
                          <w:rFonts w:hint="eastAsia" w:hAnsi="宋体"/>
                          <w:szCs w:val="21"/>
                        </w:rPr>
                        <w:t>：2211“轩岚诺”、2212“梅花”和2214“南玛都”。</w:t>
                      </w:r>
                    </w:p>
                    <w:p>
                      <w:pPr>
                        <w:spacing w:line="400" w:lineRule="exact"/>
                        <w:ind w:firstLine="420" w:firstLineChars="200"/>
                        <w:rPr>
                          <w:rFonts w:hint="eastAsia" w:hAnsi="宋体"/>
                          <w:szCs w:val="21"/>
                        </w:rPr>
                      </w:pPr>
                    </w:p>
                  </w:txbxContent>
                </v:textbox>
                <w10:wrap type="none"/>
                <w10:anchorlock/>
              </v:shape>
            </w:pict>
          </mc:Fallback>
        </mc:AlternateContent>
      </w:r>
    </w:p>
    <w:p>
      <w:pPr>
        <w:pStyle w:val="2"/>
        <w:spacing w:before="0" w:after="0" w:line="240" w:lineRule="auto"/>
        <w:rPr>
          <w:rFonts w:hint="eastAsia" w:ascii="黑体" w:hAnsi="黑体" w:eastAsia="黑体"/>
        </w:rPr>
      </w:pPr>
      <w:bookmarkStart w:id="11" w:name="_Toc1854641876"/>
      <w:r>
        <w:rPr>
          <w:rFonts w:ascii="黑体" w:hAnsi="黑体" w:eastAsia="黑体"/>
          <w:b w:val="0"/>
          <w:bCs w:val="0"/>
        </w:rPr>
        <w:t>三、海浪灾害</w:t>
      </w:r>
      <w:bookmarkEnd w:id="10"/>
      <w:bookmarkEnd w:id="11"/>
      <w:r>
        <w:rPr>
          <w:rFonts w:hint="eastAsia" w:ascii="黑体" w:hAnsi="黑体" w:eastAsia="黑体"/>
          <w:b w:val="0"/>
          <w:bCs w:val="0"/>
        </w:rPr>
        <w:t xml:space="preserve"> </w:t>
      </w:r>
    </w:p>
    <w:p>
      <w:pPr>
        <w:spacing w:before="156" w:beforeLines="50" w:after="156" w:afterLines="50" w:line="360" w:lineRule="auto"/>
        <w:ind w:firstLine="600" w:firstLineChars="200"/>
        <w:rPr>
          <w:rFonts w:hint="eastAsia"/>
          <w:sz w:val="30"/>
          <w:szCs w:val="30"/>
        </w:rPr>
      </w:pPr>
      <w:r>
        <w:rPr>
          <w:sz w:val="30"/>
          <w:szCs w:val="30"/>
        </w:rPr>
        <w:t>20</w:t>
      </w:r>
      <w:r>
        <w:rPr>
          <w:rFonts w:hint="eastAsia"/>
          <w:sz w:val="30"/>
          <w:szCs w:val="30"/>
        </w:rPr>
        <w:t>22</w:t>
      </w:r>
      <w:r>
        <w:rPr>
          <w:sz w:val="30"/>
          <w:szCs w:val="30"/>
        </w:rPr>
        <w:t>年</w:t>
      </w:r>
      <w:r>
        <w:rPr>
          <w:rFonts w:hint="eastAsia"/>
          <w:sz w:val="30"/>
          <w:szCs w:val="30"/>
        </w:rPr>
        <w:t>，我省</w:t>
      </w:r>
      <w:r>
        <w:rPr>
          <w:sz w:val="30"/>
          <w:szCs w:val="30"/>
        </w:rPr>
        <w:t>海域灾害性海浪天数</w:t>
      </w:r>
      <w:r>
        <w:rPr>
          <w:rFonts w:hint="eastAsia"/>
          <w:sz w:val="30"/>
          <w:szCs w:val="30"/>
        </w:rPr>
        <w:t>共55</w:t>
      </w:r>
      <w:r>
        <w:rPr>
          <w:sz w:val="30"/>
          <w:szCs w:val="30"/>
        </w:rPr>
        <w:t>天，</w:t>
      </w:r>
      <w:r>
        <w:rPr>
          <w:rFonts w:hint="eastAsia"/>
          <w:sz w:val="30"/>
          <w:szCs w:val="30"/>
          <w:lang w:eastAsia="zh-CN"/>
        </w:rPr>
        <w:t>略多</w:t>
      </w:r>
      <w:r>
        <w:rPr>
          <w:rFonts w:hint="eastAsia"/>
          <w:sz w:val="30"/>
          <w:szCs w:val="30"/>
        </w:rPr>
        <w:t>于前</w:t>
      </w:r>
      <w:r>
        <w:rPr>
          <w:sz w:val="30"/>
          <w:szCs w:val="30"/>
        </w:rPr>
        <w:t>10年平均值</w:t>
      </w:r>
      <w:r>
        <w:rPr>
          <w:rFonts w:hint="eastAsia"/>
          <w:sz w:val="30"/>
          <w:szCs w:val="30"/>
        </w:rPr>
        <w:t>（54天），引发海浪灾害1次，未造成人员死亡失踪，</w:t>
      </w:r>
      <w:r>
        <w:rPr>
          <w:rFonts w:hint="eastAsia"/>
          <w:sz w:val="30"/>
          <w:szCs w:val="30"/>
          <w:lang w:eastAsia="zh-CN"/>
        </w:rPr>
        <w:t>少</w:t>
      </w:r>
      <w:r>
        <w:rPr>
          <w:rFonts w:hint="eastAsia"/>
          <w:sz w:val="30"/>
          <w:szCs w:val="30"/>
        </w:rPr>
        <w:t>于前</w:t>
      </w:r>
      <w:r>
        <w:rPr>
          <w:sz w:val="30"/>
          <w:szCs w:val="30"/>
        </w:rPr>
        <w:t>10年平均值</w:t>
      </w:r>
      <w:r>
        <w:rPr>
          <w:rFonts w:hint="eastAsia"/>
          <w:sz w:val="30"/>
          <w:szCs w:val="30"/>
        </w:rPr>
        <w:t>（13人）</w:t>
      </w:r>
      <w:r>
        <w:rPr>
          <w:sz w:val="30"/>
          <w:szCs w:val="30"/>
        </w:rPr>
        <w:t>（</w:t>
      </w:r>
      <w:r>
        <w:rPr>
          <w:rFonts w:hint="eastAsia"/>
          <w:sz w:val="30"/>
          <w:szCs w:val="30"/>
        </w:rPr>
        <w:t>见</w:t>
      </w:r>
      <w:r>
        <w:rPr>
          <w:sz w:val="30"/>
          <w:szCs w:val="30"/>
        </w:rPr>
        <w:t>图</w:t>
      </w:r>
      <w:r>
        <w:rPr>
          <w:rFonts w:hint="eastAsia"/>
          <w:sz w:val="30"/>
          <w:szCs w:val="30"/>
          <w:lang w:val="en-US" w:eastAsia="zh-CN"/>
        </w:rPr>
        <w:t>5</w:t>
      </w:r>
      <w:r>
        <w:rPr>
          <w:sz w:val="30"/>
          <w:szCs w:val="30"/>
        </w:rPr>
        <w:t>）。</w:t>
      </w:r>
      <w:r>
        <w:rPr>
          <w:rFonts w:hAnsi="宋体"/>
          <w:sz w:val="30"/>
          <w:szCs w:val="30"/>
        </w:rPr>
        <w:t>灾害性海浪</w:t>
      </w:r>
      <w:r>
        <w:rPr>
          <w:sz w:val="30"/>
          <w:szCs w:val="30"/>
        </w:rPr>
        <w:t>达到红色、橙色、黄色和蓝色警戒级别</w:t>
      </w:r>
      <w:r>
        <w:rPr>
          <w:rFonts w:hint="eastAsia"/>
          <w:sz w:val="30"/>
          <w:szCs w:val="30"/>
        </w:rPr>
        <w:t>的天数</w:t>
      </w:r>
      <w:r>
        <w:rPr>
          <w:sz w:val="30"/>
          <w:szCs w:val="30"/>
        </w:rPr>
        <w:t>分别</w:t>
      </w:r>
      <w:r>
        <w:rPr>
          <w:color w:val="auto"/>
          <w:sz w:val="30"/>
          <w:szCs w:val="30"/>
        </w:rPr>
        <w:t>为</w:t>
      </w:r>
      <w:r>
        <w:rPr>
          <w:rFonts w:hint="eastAsia"/>
          <w:color w:val="auto"/>
          <w:sz w:val="30"/>
          <w:szCs w:val="30"/>
          <w:lang w:val="en-US" w:eastAsia="zh-CN"/>
        </w:rPr>
        <w:t>1</w:t>
      </w:r>
      <w:r>
        <w:rPr>
          <w:color w:val="auto"/>
          <w:sz w:val="30"/>
          <w:szCs w:val="30"/>
        </w:rPr>
        <w:t>天、</w:t>
      </w:r>
      <w:r>
        <w:rPr>
          <w:rFonts w:hint="eastAsia"/>
          <w:color w:val="auto"/>
          <w:sz w:val="30"/>
          <w:szCs w:val="30"/>
          <w:lang w:val="en-US" w:eastAsia="zh-CN"/>
        </w:rPr>
        <w:t>3</w:t>
      </w:r>
      <w:r>
        <w:rPr>
          <w:color w:val="auto"/>
          <w:sz w:val="30"/>
          <w:szCs w:val="30"/>
        </w:rPr>
        <w:t>天、</w:t>
      </w:r>
      <w:r>
        <w:rPr>
          <w:rFonts w:hint="eastAsia"/>
          <w:color w:val="auto"/>
          <w:sz w:val="30"/>
          <w:szCs w:val="30"/>
        </w:rPr>
        <w:t>6</w:t>
      </w:r>
      <w:r>
        <w:rPr>
          <w:color w:val="auto"/>
          <w:sz w:val="30"/>
          <w:szCs w:val="30"/>
        </w:rPr>
        <w:t>天和</w:t>
      </w:r>
      <w:r>
        <w:rPr>
          <w:rFonts w:hint="eastAsia"/>
          <w:color w:val="auto"/>
          <w:sz w:val="30"/>
          <w:szCs w:val="30"/>
        </w:rPr>
        <w:t>45</w:t>
      </w:r>
      <w:r>
        <w:rPr>
          <w:color w:val="auto"/>
          <w:sz w:val="30"/>
          <w:szCs w:val="30"/>
        </w:rPr>
        <w:t>天</w:t>
      </w:r>
      <w:r>
        <w:rPr>
          <w:rFonts w:hint="eastAsia"/>
          <w:color w:val="auto"/>
          <w:sz w:val="30"/>
          <w:szCs w:val="30"/>
        </w:rPr>
        <w:t>。</w:t>
      </w:r>
      <w:r>
        <w:rPr>
          <w:color w:val="auto"/>
          <w:sz w:val="30"/>
          <w:szCs w:val="30"/>
        </w:rPr>
        <w:t>灾</w:t>
      </w:r>
      <w:r>
        <w:rPr>
          <w:sz w:val="30"/>
          <w:szCs w:val="30"/>
        </w:rPr>
        <w:t>害性海浪天数最多的是</w:t>
      </w:r>
      <w:r>
        <w:rPr>
          <w:rFonts w:hint="eastAsia"/>
          <w:sz w:val="30"/>
          <w:szCs w:val="30"/>
        </w:rPr>
        <w:t>9</w:t>
      </w:r>
      <w:r>
        <w:rPr>
          <w:sz w:val="30"/>
          <w:szCs w:val="30"/>
        </w:rPr>
        <w:t>月，为</w:t>
      </w:r>
      <w:r>
        <w:rPr>
          <w:rFonts w:hint="eastAsia"/>
          <w:sz w:val="30"/>
          <w:szCs w:val="30"/>
        </w:rPr>
        <w:t>12</w:t>
      </w:r>
      <w:r>
        <w:rPr>
          <w:sz w:val="30"/>
          <w:szCs w:val="30"/>
        </w:rPr>
        <w:t>天</w:t>
      </w:r>
      <w:r>
        <w:rPr>
          <w:rFonts w:hint="eastAsia"/>
          <w:sz w:val="30"/>
          <w:szCs w:val="30"/>
          <w:lang w:eastAsia="zh-CN"/>
        </w:rPr>
        <w:t>，是热带气旋引发的</w:t>
      </w:r>
      <w:r>
        <w:rPr>
          <w:rFonts w:hint="eastAsia"/>
          <w:sz w:val="30"/>
          <w:szCs w:val="30"/>
        </w:rPr>
        <w:t>；</w:t>
      </w:r>
      <w:r>
        <w:rPr>
          <w:sz w:val="30"/>
          <w:szCs w:val="30"/>
        </w:rPr>
        <w:t>其次是</w:t>
      </w:r>
      <w:r>
        <w:rPr>
          <w:rFonts w:hint="eastAsia"/>
          <w:sz w:val="30"/>
          <w:szCs w:val="30"/>
        </w:rPr>
        <w:t>12月</w:t>
      </w:r>
      <w:r>
        <w:rPr>
          <w:sz w:val="30"/>
          <w:szCs w:val="30"/>
        </w:rPr>
        <w:t>，</w:t>
      </w:r>
      <w:r>
        <w:rPr>
          <w:rFonts w:hint="eastAsia"/>
          <w:sz w:val="30"/>
          <w:szCs w:val="30"/>
        </w:rPr>
        <w:t>为10</w:t>
      </w:r>
      <w:r>
        <w:rPr>
          <w:sz w:val="30"/>
          <w:szCs w:val="30"/>
        </w:rPr>
        <w:t>天</w:t>
      </w:r>
      <w:r>
        <w:rPr>
          <w:rFonts w:hint="eastAsia"/>
          <w:sz w:val="30"/>
          <w:szCs w:val="30"/>
          <w:lang w:eastAsia="zh-CN"/>
        </w:rPr>
        <w:t>，是冷空气引发的</w:t>
      </w:r>
      <w:r>
        <w:rPr>
          <w:rFonts w:hint="eastAsia"/>
          <w:sz w:val="30"/>
          <w:szCs w:val="30"/>
        </w:rPr>
        <w:t>；5月、7月和8月未发生灾害性海浪</w:t>
      </w:r>
      <w:r>
        <w:rPr>
          <w:sz w:val="30"/>
          <w:szCs w:val="30"/>
        </w:rPr>
        <w:t>（见图</w:t>
      </w:r>
      <w:r>
        <w:rPr>
          <w:rFonts w:hint="eastAsia"/>
          <w:sz w:val="30"/>
          <w:szCs w:val="30"/>
          <w:lang w:val="en-US" w:eastAsia="zh-CN"/>
        </w:rPr>
        <w:t>6</w:t>
      </w:r>
      <w:r>
        <w:rPr>
          <w:sz w:val="30"/>
          <w:szCs w:val="30"/>
        </w:rPr>
        <w:t>）。</w:t>
      </w:r>
    </w:p>
    <w:p>
      <w:pPr>
        <w:widowControl/>
        <w:jc w:val="center"/>
        <w:rPr>
          <w:rFonts w:hint="eastAsia"/>
          <w:sz w:val="24"/>
        </w:rPr>
      </w:pPr>
      <w:r>
        <w:rPr>
          <w:sz w:val="24"/>
        </w:rPr>
        <w:drawing>
          <wp:inline distT="0" distB="0" distL="114300" distR="114300">
            <wp:extent cx="5349875" cy="3020695"/>
            <wp:effectExtent l="0" t="0" r="3175" b="8255"/>
            <wp:docPr id="10" name="图片 41" descr="海浪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41" descr="海浪1"/>
                    <pic:cNvPicPr>
                      <a:picLocks noChangeAspect="true"/>
                    </pic:cNvPicPr>
                  </pic:nvPicPr>
                  <pic:blipFill>
                    <a:blip r:embed="rId20"/>
                    <a:srcRect l="482" t="5475" r="330" b="7719"/>
                    <a:stretch>
                      <a:fillRect/>
                    </a:stretch>
                  </pic:blipFill>
                  <pic:spPr>
                    <a:xfrm>
                      <a:off x="0" y="0"/>
                      <a:ext cx="5349875" cy="3020695"/>
                    </a:xfrm>
                    <a:prstGeom prst="rect">
                      <a:avLst/>
                    </a:prstGeom>
                    <a:noFill/>
                    <a:ln>
                      <a:noFill/>
                    </a:ln>
                  </pic:spPr>
                </pic:pic>
              </a:graphicData>
            </a:graphic>
          </wp:inline>
        </w:drawing>
      </w:r>
      <w:r>
        <w:rPr>
          <w:sz w:val="24"/>
        </w:rPr>
        <w:t>图</w:t>
      </w:r>
      <w:r>
        <w:rPr>
          <w:rFonts w:hint="eastAsia"/>
          <w:sz w:val="24"/>
          <w:lang w:val="en-US" w:eastAsia="zh-CN"/>
        </w:rPr>
        <w:t>5</w:t>
      </w:r>
      <w:r>
        <w:rPr>
          <w:rFonts w:hint="eastAsia"/>
          <w:sz w:val="24"/>
        </w:rPr>
        <w:t xml:space="preserve"> </w:t>
      </w:r>
      <w:r>
        <w:rPr>
          <w:sz w:val="24"/>
        </w:rPr>
        <w:t xml:space="preserve"> 20</w:t>
      </w:r>
      <w:r>
        <w:rPr>
          <w:rFonts w:hint="eastAsia"/>
          <w:sz w:val="24"/>
        </w:rPr>
        <w:t>12</w:t>
      </w:r>
      <w:r>
        <w:rPr>
          <w:rFonts w:hint="eastAsia" w:eastAsia="黑体"/>
          <w:color w:val="000000"/>
          <w:kern w:val="0"/>
          <w:sz w:val="24"/>
          <w:lang w:val="zh-CN"/>
        </w:rPr>
        <w:t>-</w:t>
      </w:r>
      <w:r>
        <w:rPr>
          <w:sz w:val="24"/>
        </w:rPr>
        <w:t>20</w:t>
      </w:r>
      <w:r>
        <w:rPr>
          <w:rFonts w:hint="eastAsia"/>
          <w:sz w:val="24"/>
        </w:rPr>
        <w:t>22</w:t>
      </w:r>
      <w:r>
        <w:rPr>
          <w:sz w:val="24"/>
        </w:rPr>
        <w:t>年</w:t>
      </w:r>
      <w:r>
        <w:rPr>
          <w:rFonts w:hint="eastAsia"/>
          <w:sz w:val="24"/>
        </w:rPr>
        <w:t>浙江省</w:t>
      </w:r>
      <w:r>
        <w:rPr>
          <w:sz w:val="24"/>
        </w:rPr>
        <w:t>灾害性海浪天数和死亡失踪人</w:t>
      </w:r>
      <w:r>
        <w:rPr>
          <w:rFonts w:hint="eastAsia"/>
          <w:sz w:val="24"/>
        </w:rPr>
        <w:t>口</w:t>
      </w:r>
    </w:p>
    <w:p>
      <w:pPr>
        <w:spacing w:line="360" w:lineRule="auto"/>
        <w:rPr>
          <w:rFonts w:hint="eastAsia"/>
          <w:sz w:val="28"/>
          <w:szCs w:val="28"/>
        </w:rPr>
      </w:pPr>
    </w:p>
    <w:p>
      <w:pPr>
        <w:widowControl/>
        <w:jc w:val="left"/>
        <w:rPr>
          <w:rFonts w:hint="eastAsia"/>
        </w:rPr>
      </w:pPr>
    </w:p>
    <w:p>
      <w:pPr>
        <w:widowControl/>
        <w:jc w:val="left"/>
        <w:rPr>
          <w:rFonts w:hint="eastAsia"/>
        </w:rPr>
      </w:pPr>
    </w:p>
    <w:p>
      <w:pPr>
        <w:widowControl/>
        <w:jc w:val="left"/>
        <w:rPr>
          <w:rFonts w:hint="eastAsia"/>
        </w:rPr>
      </w:pPr>
    </w:p>
    <w:p>
      <w:pPr>
        <w:spacing w:line="360" w:lineRule="auto"/>
        <w:jc w:val="center"/>
        <w:rPr>
          <w:rFonts w:hint="eastAsia"/>
          <w:sz w:val="24"/>
        </w:rPr>
      </w:pPr>
      <w:r>
        <w:rPr>
          <w:sz w:val="24"/>
        </w:rPr>
        <w:drawing>
          <wp:inline distT="0" distB="0" distL="114300" distR="114300">
            <wp:extent cx="5368290" cy="3275965"/>
            <wp:effectExtent l="0" t="0" r="3810" b="635"/>
            <wp:docPr id="11" name="图片 15" descr="海浪大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5" descr="海浪大风"/>
                    <pic:cNvPicPr>
                      <a:picLocks noChangeAspect="true"/>
                    </pic:cNvPicPr>
                  </pic:nvPicPr>
                  <pic:blipFill>
                    <a:blip r:embed="rId21"/>
                    <a:srcRect l="177" t="2193" r="352" b="3563"/>
                    <a:stretch>
                      <a:fillRect/>
                    </a:stretch>
                  </pic:blipFill>
                  <pic:spPr>
                    <a:xfrm>
                      <a:off x="0" y="0"/>
                      <a:ext cx="5368290" cy="3275965"/>
                    </a:xfrm>
                    <a:prstGeom prst="rect">
                      <a:avLst/>
                    </a:prstGeom>
                    <a:noFill/>
                    <a:ln>
                      <a:noFill/>
                    </a:ln>
                  </pic:spPr>
                </pic:pic>
              </a:graphicData>
            </a:graphic>
          </wp:inline>
        </w:drawing>
      </w:r>
      <w:r>
        <w:rPr>
          <w:sz w:val="24"/>
        </w:rPr>
        <w:t>图</w:t>
      </w:r>
      <w:r>
        <w:rPr>
          <w:rFonts w:hint="eastAsia"/>
          <w:sz w:val="24"/>
          <w:lang w:val="en-US" w:eastAsia="zh-CN"/>
        </w:rPr>
        <w:t>6</w:t>
      </w:r>
      <w:r>
        <w:rPr>
          <w:sz w:val="24"/>
        </w:rPr>
        <w:t xml:space="preserve">  20</w:t>
      </w:r>
      <w:r>
        <w:rPr>
          <w:rFonts w:hint="eastAsia"/>
          <w:sz w:val="24"/>
        </w:rPr>
        <w:t>22</w:t>
      </w:r>
      <w:r>
        <w:rPr>
          <w:sz w:val="24"/>
        </w:rPr>
        <w:t>年浙江海域灾害性海浪天数逐月分布</w:t>
      </w:r>
    </w:p>
    <w:p>
      <w:pPr>
        <w:spacing w:line="360" w:lineRule="auto"/>
        <w:ind w:firstLine="600" w:firstLineChars="200"/>
        <w:rPr>
          <w:rFonts w:hint="eastAsia"/>
          <w:sz w:val="30"/>
          <w:szCs w:val="30"/>
        </w:rPr>
      </w:pPr>
      <w:r>
        <w:rPr>
          <w:rFonts w:hint="eastAsia"/>
          <w:sz w:val="30"/>
          <w:szCs w:val="30"/>
        </w:rPr>
        <w:t>2022年，灾害性海浪引发灾害1次，发生在舟山海域，共造成直接经济损失1 146.00万元，</w:t>
      </w:r>
      <w:r>
        <w:rPr>
          <w:rFonts w:hint="eastAsia" w:ascii="宋体" w:hAnsi="宋体"/>
          <w:sz w:val="30"/>
          <w:szCs w:val="30"/>
        </w:rPr>
        <w:t>未造成</w:t>
      </w:r>
      <w:r>
        <w:rPr>
          <w:rFonts w:hAnsi="宋体"/>
          <w:sz w:val="30"/>
          <w:szCs w:val="30"/>
        </w:rPr>
        <w:t>人员死亡失踪</w:t>
      </w:r>
      <w:r>
        <w:rPr>
          <w:rFonts w:hint="eastAsia"/>
          <w:sz w:val="30"/>
          <w:szCs w:val="30"/>
        </w:rPr>
        <w:t>。</w:t>
      </w:r>
    </w:p>
    <w:p>
      <w:pPr>
        <w:spacing w:line="360" w:lineRule="auto"/>
        <w:ind w:firstLine="600" w:firstLineChars="200"/>
        <w:rPr>
          <w:rFonts w:hint="eastAsia"/>
          <w:sz w:val="30"/>
          <w:szCs w:val="30"/>
        </w:rPr>
      </w:pPr>
      <w:r>
        <w:rPr>
          <w:rFonts w:hint="eastAsia"/>
          <w:sz w:val="30"/>
          <w:szCs w:val="30"/>
        </w:rPr>
        <w:t>海浪灾害引发的事故情况如下：</w:t>
      </w:r>
    </w:p>
    <w:p>
      <w:pPr>
        <w:spacing w:line="360" w:lineRule="auto"/>
        <w:ind w:firstLine="600" w:firstLineChars="200"/>
        <w:rPr>
          <w:rFonts w:hint="eastAsia"/>
          <w:sz w:val="30"/>
          <w:szCs w:val="30"/>
        </w:rPr>
      </w:pPr>
      <w:r>
        <w:rPr>
          <w:rFonts w:hint="eastAsia"/>
          <w:sz w:val="30"/>
          <w:szCs w:val="30"/>
        </w:rPr>
        <w:t>9月3日</w:t>
      </w:r>
      <w:r>
        <w:rPr>
          <w:rFonts w:hint="eastAsia" w:eastAsia="仿宋_GB2312"/>
          <w:sz w:val="30"/>
          <w:szCs w:val="30"/>
        </w:rPr>
        <w:t>-</w:t>
      </w:r>
      <w:r>
        <w:rPr>
          <w:rFonts w:hint="eastAsia" w:eastAsia="仿宋_GB2312"/>
          <w:sz w:val="30"/>
          <w:szCs w:val="30"/>
          <w:lang w:val="en-US" w:eastAsia="zh-CN"/>
        </w:rPr>
        <w:t>9月</w:t>
      </w:r>
      <w:r>
        <w:rPr>
          <w:rFonts w:hint="eastAsia"/>
          <w:sz w:val="30"/>
          <w:szCs w:val="30"/>
        </w:rPr>
        <w:t>6日，受</w:t>
      </w:r>
      <w:r>
        <w:rPr>
          <w:rFonts w:hint="eastAsia"/>
          <w:sz w:val="30"/>
          <w:szCs w:val="30"/>
          <w:lang w:eastAsia="zh"/>
        </w:rPr>
        <w:t>2211</w:t>
      </w:r>
      <w:r>
        <w:rPr>
          <w:rFonts w:hint="eastAsia"/>
          <w:sz w:val="30"/>
          <w:szCs w:val="30"/>
        </w:rPr>
        <w:t>“轩岚诺”台风浪影响，</w:t>
      </w:r>
      <w:r>
        <w:rPr>
          <w:rFonts w:hint="eastAsia"/>
          <w:sz w:val="30"/>
          <w:szCs w:val="30"/>
          <w:lang w:eastAsia="zh-CN"/>
        </w:rPr>
        <w:t>近海海域的舟山外海浮标观测到</w:t>
      </w:r>
      <w:r>
        <w:rPr>
          <w:rFonts w:hint="eastAsia"/>
          <w:sz w:val="30"/>
          <w:szCs w:val="30"/>
          <w:lang w:val="en-US" w:eastAsia="zh-CN"/>
        </w:rPr>
        <w:t>7.5米的有效波高，近岸海域的舟山朱家尖浮标观测到5.0米的有效波高，台风浪造成舟山市</w:t>
      </w:r>
      <w:r>
        <w:rPr>
          <w:rFonts w:hint="eastAsia"/>
          <w:sz w:val="30"/>
          <w:szCs w:val="30"/>
        </w:rPr>
        <w:t>水产养殖受灾16.23公顷，损失</w:t>
      </w:r>
      <w:r>
        <w:rPr>
          <w:rFonts w:hint="eastAsia"/>
          <w:sz w:val="30"/>
          <w:szCs w:val="30"/>
          <w:lang w:eastAsia="zh-CN"/>
        </w:rPr>
        <w:t>产量</w:t>
      </w:r>
      <w:r>
        <w:rPr>
          <w:rFonts w:hint="eastAsia"/>
          <w:sz w:val="30"/>
          <w:szCs w:val="30"/>
        </w:rPr>
        <w:t>797吨，渔港受损3座，直接经济损失1 146.00万元。</w:t>
      </w:r>
    </w:p>
    <w:p>
      <w:pPr>
        <w:keepNext w:val="0"/>
        <w:keepLines w:val="0"/>
        <w:pageBreakBefore w:val="0"/>
        <w:widowControl w:val="0"/>
        <w:kinsoku/>
        <w:wordWrap/>
        <w:overflowPunct/>
        <w:topLinePunct w:val="0"/>
        <w:autoSpaceDE/>
        <w:autoSpaceDN/>
        <w:bidi w:val="0"/>
        <w:adjustRightInd/>
        <w:snapToGrid/>
        <w:spacing w:before="156" w:beforeLines="50"/>
        <w:jc w:val="center"/>
        <w:textAlignment w:val="auto"/>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2520315" cy="3094355"/>
            <wp:effectExtent l="0" t="0" r="13335" b="10795"/>
            <wp:docPr id="12" name="图片 22" descr="梅花嵊山3米浮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22" descr="梅花嵊山3米浮标1"/>
                    <pic:cNvPicPr>
                      <a:picLocks noChangeAspect="true"/>
                    </pic:cNvPicPr>
                  </pic:nvPicPr>
                  <pic:blipFill>
                    <a:blip r:embed="rId22"/>
                    <a:srcRect t="7866"/>
                    <a:stretch>
                      <a:fillRect/>
                    </a:stretch>
                  </pic:blipFill>
                  <pic:spPr>
                    <a:xfrm>
                      <a:off x="0" y="0"/>
                      <a:ext cx="2520315" cy="3094355"/>
                    </a:xfrm>
                    <a:prstGeom prst="rect">
                      <a:avLst/>
                    </a:prstGeom>
                    <a:noFill/>
                    <a:ln>
                      <a:noFill/>
                    </a:ln>
                  </pic:spPr>
                </pic:pic>
              </a:graphicData>
            </a:graphic>
          </wp:inline>
        </w:drawing>
      </w:r>
      <w:r>
        <w:rPr>
          <w:rFonts w:hint="eastAsia" w:ascii="Times New Roman" w:hAnsi="Times New Roman"/>
          <w:lang w:val="en-US" w:eastAsia="zh-CN"/>
        </w:rPr>
        <w:t xml:space="preserve">  </w:t>
      </w:r>
      <w:r>
        <w:rPr>
          <w:rFonts w:hint="eastAsia" w:ascii="Times New Roman" w:hAnsi="Times New Roman" w:eastAsia="宋体"/>
          <w:lang w:eastAsia="zh-CN"/>
        </w:rPr>
        <w:drawing>
          <wp:inline distT="0" distB="0" distL="114300" distR="114300">
            <wp:extent cx="2520315" cy="3091180"/>
            <wp:effectExtent l="0" t="0" r="13335" b="13970"/>
            <wp:docPr id="13" name="图片 23" descr="梅花嵊山3米浮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3" descr="梅花嵊山3米浮标"/>
                    <pic:cNvPicPr>
                      <a:picLocks noChangeAspect="true"/>
                    </pic:cNvPicPr>
                  </pic:nvPicPr>
                  <pic:blipFill>
                    <a:blip r:embed="rId23"/>
                    <a:srcRect b="694"/>
                    <a:stretch>
                      <a:fillRect/>
                    </a:stretch>
                  </pic:blipFill>
                  <pic:spPr>
                    <a:xfrm>
                      <a:off x="0" y="0"/>
                      <a:ext cx="2520315" cy="309118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lang w:eastAsia="zh-CN"/>
        </w:rPr>
        <w:t>图</w:t>
      </w:r>
      <w:r>
        <w:rPr>
          <w:rFonts w:hint="eastAsia" w:ascii="Times New Roman" w:hAnsi="Times New Roman" w:eastAsia="宋体" w:cs="Times New Roman"/>
          <w:sz w:val="24"/>
          <w:lang w:val="en-US" w:eastAsia="zh-CN"/>
        </w:rPr>
        <w:t xml:space="preserve">7 </w:t>
      </w:r>
      <w:r>
        <w:rPr>
          <w:rFonts w:hint="eastAsia" w:ascii="Times New Roman" w:hAnsi="Times New Roman" w:eastAsia="宋体" w:cs="Times New Roman"/>
          <w:sz w:val="24"/>
          <w:lang w:eastAsia="zh-CN"/>
        </w:rPr>
        <w:t>嵊山浮标走锚受损</w:t>
      </w:r>
    </w:p>
    <w:p>
      <w:pPr>
        <w:spacing w:line="360" w:lineRule="auto"/>
        <w:ind w:firstLine="600" w:firstLineChars="200"/>
        <w:rPr>
          <w:rFonts w:hint="eastAsia"/>
          <w:sz w:val="30"/>
          <w:szCs w:val="30"/>
        </w:rPr>
      </w:pPr>
      <w:r>
        <w:rPr>
          <w:sz w:val="30"/>
          <w:szCs w:val="30"/>
        </w:rPr>
        <w:t>2022年</w:t>
      </w:r>
      <w:r>
        <w:rPr>
          <w:rFonts w:hint="eastAsia"/>
          <w:sz w:val="30"/>
          <w:szCs w:val="30"/>
        </w:rPr>
        <w:t>受灾害性海浪影响，</w:t>
      </w:r>
      <w:r>
        <w:rPr>
          <w:rFonts w:hint="eastAsia"/>
          <w:sz w:val="30"/>
          <w:szCs w:val="30"/>
          <w:lang w:eastAsia="zh-CN"/>
        </w:rPr>
        <w:t>全省</w:t>
      </w:r>
      <w:r>
        <w:rPr>
          <w:sz w:val="30"/>
          <w:szCs w:val="30"/>
        </w:rPr>
        <w:t>渔船</w:t>
      </w:r>
      <w:r>
        <w:rPr>
          <w:rFonts w:hint="eastAsia"/>
          <w:sz w:val="30"/>
          <w:szCs w:val="30"/>
        </w:rPr>
        <w:t>回港共计</w:t>
      </w:r>
      <w:r>
        <w:rPr>
          <w:sz w:val="30"/>
          <w:szCs w:val="30"/>
        </w:rPr>
        <w:t>12次，</w:t>
      </w:r>
      <w:r>
        <w:rPr>
          <w:rFonts w:hint="eastAsia"/>
          <w:sz w:val="30"/>
          <w:szCs w:val="30"/>
        </w:rPr>
        <w:t>共计撤离渔船59 481艘次</w:t>
      </w:r>
      <w:r>
        <w:rPr>
          <w:rFonts w:hAnsi="宋体"/>
          <w:sz w:val="30"/>
          <w:szCs w:val="30"/>
        </w:rPr>
        <w:t>（见</w:t>
      </w:r>
      <w:r>
        <w:rPr>
          <w:rFonts w:hint="eastAsia" w:hAnsi="宋体"/>
          <w:sz w:val="30"/>
          <w:szCs w:val="30"/>
        </w:rPr>
        <w:t>表</w:t>
      </w:r>
      <w:r>
        <w:rPr>
          <w:rFonts w:hint="eastAsia"/>
          <w:sz w:val="30"/>
          <w:szCs w:val="30"/>
          <w:lang w:val="en-US" w:eastAsia="zh-CN"/>
        </w:rPr>
        <w:t>4</w:t>
      </w:r>
      <w:r>
        <w:rPr>
          <w:rFonts w:hAnsi="宋体"/>
          <w:sz w:val="30"/>
          <w:szCs w:val="30"/>
        </w:rPr>
        <w:t>）</w:t>
      </w:r>
      <w:r>
        <w:rPr>
          <w:rFonts w:hint="eastAsia"/>
          <w:sz w:val="30"/>
          <w:szCs w:val="30"/>
        </w:rPr>
        <w:t>。</w:t>
      </w:r>
    </w:p>
    <w:p>
      <w:pPr>
        <w:jc w:val="center"/>
        <w:rPr>
          <w:sz w:val="24"/>
        </w:rPr>
      </w:pPr>
      <w:r>
        <w:rPr>
          <w:rFonts w:hAnsi="宋体"/>
          <w:sz w:val="24"/>
        </w:rPr>
        <w:t>表</w:t>
      </w:r>
      <w:r>
        <w:rPr>
          <w:rFonts w:hint="eastAsia"/>
          <w:sz w:val="24"/>
          <w:lang w:val="en-US" w:eastAsia="zh-CN"/>
        </w:rPr>
        <w:t>4</w:t>
      </w:r>
      <w:r>
        <w:rPr>
          <w:sz w:val="24"/>
        </w:rPr>
        <w:t xml:space="preserve">  20</w:t>
      </w:r>
      <w:r>
        <w:rPr>
          <w:rFonts w:hint="eastAsia"/>
          <w:sz w:val="24"/>
        </w:rPr>
        <w:t>22</w:t>
      </w:r>
      <w:r>
        <w:rPr>
          <w:rFonts w:hAnsi="宋体"/>
          <w:sz w:val="24"/>
        </w:rPr>
        <w:t>年</w:t>
      </w:r>
      <w:r>
        <w:rPr>
          <w:rFonts w:hint="eastAsia" w:hAnsi="宋体"/>
          <w:sz w:val="24"/>
          <w:lang w:eastAsia="zh-CN"/>
        </w:rPr>
        <w:t>渔船受海浪影响回港</w:t>
      </w:r>
      <w:r>
        <w:rPr>
          <w:rFonts w:hAnsi="宋体"/>
          <w:sz w:val="24"/>
        </w:rPr>
        <w:t>情况</w:t>
      </w:r>
    </w:p>
    <w:tbl>
      <w:tblPr>
        <w:tblStyle w:val="20"/>
        <w:tblW w:w="8560" w:type="dxa"/>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4463"/>
        <w:gridCol w:w="4097"/>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674"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rFonts w:hint="eastAsia" w:eastAsia="宋体"/>
                <w:b/>
                <w:bCs/>
                <w:color w:val="FFFFFF"/>
                <w:szCs w:val="21"/>
                <w:lang w:eastAsia="zh-CN"/>
              </w:rPr>
            </w:pPr>
            <w:r>
              <w:rPr>
                <w:rFonts w:hint="eastAsia"/>
                <w:b/>
                <w:bCs/>
                <w:color w:val="FFFFFF"/>
                <w:szCs w:val="21"/>
                <w:lang w:eastAsia="zh-CN"/>
              </w:rPr>
              <w:t>灾害过程</w:t>
            </w:r>
          </w:p>
        </w:tc>
        <w:tc>
          <w:tcPr>
            <w:tcW w:w="4097"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rFonts w:hint="eastAsia"/>
                <w:b/>
                <w:bCs/>
                <w:color w:val="FFFFFF"/>
                <w:szCs w:val="21"/>
                <w:lang w:eastAsia="zh-CN"/>
              </w:rPr>
            </w:pPr>
            <w:r>
              <w:rPr>
                <w:rFonts w:hint="eastAsia"/>
                <w:b/>
                <w:bCs/>
                <w:color w:val="FFFFFF"/>
                <w:szCs w:val="21"/>
                <w:lang w:eastAsia="zh-CN"/>
              </w:rPr>
              <w:t>回港渔船数量</w:t>
            </w:r>
          </w:p>
          <w:p>
            <w:pPr>
              <w:autoSpaceDN w:val="0"/>
              <w:adjustRightInd w:val="0"/>
              <w:snapToGrid w:val="0"/>
              <w:jc w:val="center"/>
              <w:textAlignment w:val="top"/>
              <w:rPr>
                <w:b/>
                <w:bCs/>
                <w:color w:val="FFFFFF"/>
                <w:szCs w:val="21"/>
              </w:rPr>
            </w:pPr>
            <w:r>
              <w:rPr>
                <w:b/>
                <w:bCs/>
                <w:color w:val="FFFFFF"/>
                <w:szCs w:val="21"/>
              </w:rPr>
              <w:t>（</w:t>
            </w:r>
            <w:r>
              <w:rPr>
                <w:rFonts w:hint="eastAsia"/>
                <w:b/>
                <w:bCs/>
                <w:color w:val="FFFFFF"/>
                <w:szCs w:val="21"/>
                <w:lang w:eastAsia="zh-CN"/>
              </w:rPr>
              <w:t>艘</w:t>
            </w:r>
            <w:r>
              <w:rPr>
                <w:b/>
                <w:bCs/>
                <w:color w:val="FFFFFF"/>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2204“艾利”台风</w:t>
            </w:r>
          </w:p>
        </w:tc>
        <w:tc>
          <w:tcPr>
            <w:tcW w:w="4097" w:type="dxa"/>
            <w:tcBorders>
              <w:top w:val="single" w:color="FFFFFF" w:sz="8" w:space="0"/>
              <w:left w:val="single" w:color="FFFFFF" w:sz="8" w:space="0"/>
              <w:right w:val="single" w:color="FFFFFF" w:sz="8" w:space="0"/>
            </w:tcBorders>
            <w:shd w:val="clear" w:color="auto" w:fill="B9E6FB"/>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199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2205“桑达”台风</w:t>
            </w:r>
          </w:p>
        </w:tc>
        <w:tc>
          <w:tcPr>
            <w:tcW w:w="4097" w:type="dxa"/>
            <w:tcBorders>
              <w:top w:val="single" w:color="FFFFFF" w:sz="8" w:space="0"/>
              <w:left w:val="single" w:color="FFFFFF" w:sz="8" w:space="0"/>
              <w:right w:val="single" w:color="FFFFFF" w:sz="8" w:space="0"/>
            </w:tcBorders>
            <w:shd w:val="clear" w:color="auto" w:fill="E2F4FD"/>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205</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2211“轩岚诺”台风</w:t>
            </w:r>
          </w:p>
        </w:tc>
        <w:tc>
          <w:tcPr>
            <w:tcW w:w="4097" w:type="dxa"/>
            <w:tcBorders>
              <w:top w:val="single" w:color="FFFFFF" w:sz="8" w:space="0"/>
              <w:left w:val="single" w:color="FFFFFF" w:sz="8" w:space="0"/>
              <w:right w:val="single" w:color="FFFFFF" w:sz="8" w:space="0"/>
            </w:tcBorders>
            <w:shd w:val="clear" w:color="auto" w:fill="B9E6FB"/>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13 899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2212“梅花”台风</w:t>
            </w:r>
          </w:p>
        </w:tc>
        <w:tc>
          <w:tcPr>
            <w:tcW w:w="4097" w:type="dxa"/>
            <w:tcBorders>
              <w:top w:val="single" w:color="FFFFFF" w:sz="8" w:space="0"/>
              <w:left w:val="single" w:color="FFFFFF" w:sz="8" w:space="0"/>
              <w:right w:val="single" w:color="FFFFFF" w:sz="8" w:space="0"/>
            </w:tcBorders>
            <w:shd w:val="clear" w:color="auto" w:fill="E2F4FD"/>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13 899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2214“南玛都”台风</w:t>
            </w:r>
          </w:p>
        </w:tc>
        <w:tc>
          <w:tcPr>
            <w:tcW w:w="4097" w:type="dxa"/>
            <w:tcBorders>
              <w:top w:val="single" w:color="FFFFFF" w:sz="8" w:space="0"/>
              <w:left w:val="single" w:color="FFFFFF" w:sz="8" w:space="0"/>
              <w:right w:val="single" w:color="FFFFFF" w:sz="8" w:space="0"/>
            </w:tcBorders>
            <w:shd w:val="clear" w:color="auto" w:fill="B9E6FB"/>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13 899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“20220315”冷空气</w:t>
            </w:r>
          </w:p>
        </w:tc>
        <w:tc>
          <w:tcPr>
            <w:tcW w:w="4097" w:type="dxa"/>
            <w:tcBorders>
              <w:top w:val="single" w:color="FFFFFF" w:sz="8" w:space="0"/>
              <w:left w:val="single" w:color="FFFFFF" w:sz="8" w:space="0"/>
              <w:right w:val="single" w:color="FFFFFF" w:sz="8" w:space="0"/>
            </w:tcBorders>
            <w:shd w:val="clear" w:color="auto" w:fill="E2F4FD"/>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3 073</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“20221003”冷空气</w:t>
            </w:r>
          </w:p>
        </w:tc>
        <w:tc>
          <w:tcPr>
            <w:tcW w:w="4097" w:type="dxa"/>
            <w:tcBorders>
              <w:top w:val="single" w:color="FFFFFF" w:sz="8" w:space="0"/>
              <w:left w:val="single" w:color="FFFFFF" w:sz="8" w:space="0"/>
              <w:right w:val="single" w:color="FFFFFF" w:sz="8" w:space="0"/>
            </w:tcBorders>
            <w:shd w:val="clear" w:color="auto" w:fill="B9E6FB"/>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2 716</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“20221014”冷空气</w:t>
            </w:r>
          </w:p>
        </w:tc>
        <w:tc>
          <w:tcPr>
            <w:tcW w:w="4097" w:type="dxa"/>
            <w:tcBorders>
              <w:top w:val="single" w:color="FFFFFF" w:sz="8" w:space="0"/>
              <w:left w:val="single" w:color="FFFFFF" w:sz="8" w:space="0"/>
              <w:right w:val="single" w:color="FFFFFF" w:sz="8" w:space="0"/>
            </w:tcBorders>
            <w:shd w:val="clear" w:color="auto" w:fill="E2F4FD"/>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2 223</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“20221027”冷空气</w:t>
            </w:r>
          </w:p>
        </w:tc>
        <w:tc>
          <w:tcPr>
            <w:tcW w:w="4097" w:type="dxa"/>
            <w:tcBorders>
              <w:top w:val="single" w:color="FFFFFF" w:sz="8" w:space="0"/>
              <w:left w:val="single" w:color="FFFFFF" w:sz="8" w:space="0"/>
              <w:right w:val="single" w:color="FFFFFF" w:sz="8" w:space="0"/>
            </w:tcBorders>
            <w:shd w:val="clear" w:color="auto" w:fill="B9E6FB"/>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2 852</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“20221126”冷空气</w:t>
            </w:r>
          </w:p>
        </w:tc>
        <w:tc>
          <w:tcPr>
            <w:tcW w:w="4097" w:type="dxa"/>
            <w:tcBorders>
              <w:top w:val="single" w:color="FFFFFF" w:sz="8" w:space="0"/>
              <w:left w:val="single" w:color="FFFFFF" w:sz="8" w:space="0"/>
              <w:right w:val="single" w:color="FFFFFF" w:sz="8" w:space="0"/>
            </w:tcBorders>
            <w:shd w:val="clear" w:color="auto" w:fill="E2F4FD"/>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19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B9E6FB"/>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“20221203”冷空气</w:t>
            </w:r>
          </w:p>
        </w:tc>
        <w:tc>
          <w:tcPr>
            <w:tcW w:w="4097" w:type="dxa"/>
            <w:tcBorders>
              <w:top w:val="single" w:color="FFFFFF" w:sz="8" w:space="0"/>
              <w:left w:val="single" w:color="FFFFFF" w:sz="8" w:space="0"/>
              <w:right w:val="single" w:color="FFFFFF" w:sz="8" w:space="0"/>
            </w:tcBorders>
            <w:shd w:val="clear" w:color="auto" w:fill="B9E6FB"/>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3 568</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E2F4FD"/>
            <w:noWrap w:val="0"/>
            <w:vAlign w:val="center"/>
          </w:tcPr>
          <w:p>
            <w:pPr>
              <w:autoSpaceDN w:val="0"/>
              <w:adjustRightInd w:val="0"/>
              <w:snapToGrid w:val="0"/>
              <w:jc w:val="center"/>
              <w:textAlignment w:val="top"/>
              <w:rPr>
                <w:rFonts w:ascii="Times New Roman" w:hAnsi="宋体" w:eastAsia="宋体" w:cs="Times New Roman"/>
                <w:szCs w:val="21"/>
              </w:rPr>
            </w:pPr>
            <w:r>
              <w:rPr>
                <w:rFonts w:hint="eastAsia" w:ascii="Times New Roman" w:hAnsi="宋体" w:eastAsia="宋体" w:cs="Times New Roman"/>
                <w:szCs w:val="21"/>
              </w:rPr>
              <w:t>“20221216”冷空气</w:t>
            </w:r>
          </w:p>
        </w:tc>
        <w:tc>
          <w:tcPr>
            <w:tcW w:w="4097" w:type="dxa"/>
            <w:tcBorders>
              <w:top w:val="single" w:color="FFFFFF" w:sz="8" w:space="0"/>
              <w:left w:val="single" w:color="FFFFFF" w:sz="8" w:space="0"/>
              <w:right w:val="single" w:color="FFFFFF" w:sz="8" w:space="0"/>
            </w:tcBorders>
            <w:shd w:val="clear" w:color="auto" w:fill="E2F4FD"/>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eastAsia="宋体"/>
                <w:szCs w:val="21"/>
                <w:lang w:val="en-US" w:eastAsia="zh-CN"/>
              </w:rPr>
            </w:pPr>
            <w:r>
              <w:rPr>
                <w:rFonts w:hint="eastAsia"/>
                <w:szCs w:val="21"/>
                <w:lang w:val="en-US" w:eastAsia="zh-CN"/>
              </w:rPr>
              <w:t>2 929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526" w:hRule="exact"/>
          <w:jc w:val="center"/>
        </w:trPr>
        <w:tc>
          <w:tcPr>
            <w:tcW w:w="4463"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autoSpaceDN w:val="0"/>
              <w:adjustRightInd w:val="0"/>
              <w:snapToGrid w:val="0"/>
              <w:jc w:val="center"/>
              <w:textAlignment w:val="top"/>
              <w:rPr>
                <w:b/>
                <w:bCs/>
                <w:color w:val="FFFFFF"/>
                <w:kern w:val="2"/>
                <w:sz w:val="21"/>
                <w:szCs w:val="21"/>
                <w:lang w:val="en-US" w:eastAsia="zh-CN" w:bidi="ar-SA"/>
              </w:rPr>
            </w:pPr>
            <w:r>
              <w:rPr>
                <w:rFonts w:hAnsi="宋体"/>
                <w:b/>
                <w:bCs/>
                <w:color w:val="FFFFFF"/>
                <w:szCs w:val="21"/>
              </w:rPr>
              <w:t>合计</w:t>
            </w:r>
          </w:p>
        </w:tc>
        <w:tc>
          <w:tcPr>
            <w:tcW w:w="4097" w:type="dxa"/>
            <w:tcBorders>
              <w:top w:val="single" w:color="FFFFFF" w:sz="8" w:space="0"/>
              <w:left w:val="single" w:color="FFFFFF" w:sz="8" w:space="0"/>
              <w:bottom w:val="single" w:color="FFFFFF" w:sz="8" w:space="0"/>
              <w:right w:val="single" w:color="FFFFFF" w:sz="8" w:space="0"/>
            </w:tcBorders>
            <w:shd w:val="clear" w:color="auto" w:fill="0F76BB"/>
            <w:noWrap w:val="0"/>
            <w:vAlign w:val="center"/>
          </w:tcPr>
          <w:p>
            <w:pPr>
              <w:keepNext w:val="0"/>
              <w:keepLines w:val="0"/>
              <w:pageBreakBefore w:val="0"/>
              <w:widowControl w:val="0"/>
              <w:kinsoku/>
              <w:wordWrap/>
              <w:overflowPunct/>
              <w:topLinePunct w:val="0"/>
              <w:autoSpaceDE/>
              <w:autoSpaceDN w:val="0"/>
              <w:bidi w:val="0"/>
              <w:adjustRightInd w:val="0"/>
              <w:snapToGrid w:val="0"/>
              <w:ind w:right="1680" w:rightChars="800"/>
              <w:jc w:val="right"/>
              <w:textAlignment w:val="top"/>
              <w:rPr>
                <w:rFonts w:hint="default"/>
                <w:b/>
                <w:bCs/>
                <w:color w:val="FFFFFF"/>
                <w:kern w:val="2"/>
                <w:sz w:val="21"/>
                <w:szCs w:val="21"/>
                <w:lang w:val="en-US" w:eastAsia="zh-CN" w:bidi="ar-SA"/>
              </w:rPr>
            </w:pPr>
            <w:r>
              <w:rPr>
                <w:rFonts w:hint="eastAsia"/>
                <w:b/>
                <w:bCs/>
                <w:color w:val="FFFFFF"/>
                <w:kern w:val="2"/>
                <w:sz w:val="21"/>
                <w:szCs w:val="21"/>
                <w:lang w:val="en-US" w:eastAsia="zh-CN" w:bidi="ar-SA"/>
              </w:rPr>
              <w:t>59 481</w:t>
            </w:r>
          </w:p>
        </w:tc>
      </w:tr>
    </w:tbl>
    <w:p>
      <w:pPr>
        <w:spacing w:line="360" w:lineRule="auto"/>
        <w:ind w:firstLine="600" w:firstLineChars="200"/>
        <w:rPr>
          <w:rFonts w:hint="eastAsia"/>
          <w:color w:val="FF0000"/>
          <w:sz w:val="30"/>
          <w:szCs w:val="30"/>
        </w:rPr>
      </w:pPr>
    </w:p>
    <w:p>
      <w:pPr>
        <w:spacing w:before="156" w:beforeLines="50" w:after="156" w:afterLines="50" w:line="360" w:lineRule="auto"/>
        <w:ind w:firstLine="600" w:firstLineChars="200"/>
        <w:rPr>
          <w:rFonts w:hint="eastAsia"/>
          <w:color w:val="FF0000"/>
          <w:sz w:val="30"/>
          <w:szCs w:val="30"/>
        </w:rPr>
      </w:pPr>
    </w:p>
    <w:p>
      <w:pPr>
        <w:spacing w:line="360" w:lineRule="auto"/>
        <w:jc w:val="center"/>
        <w:rPr>
          <w:sz w:val="24"/>
        </w:rPr>
      </w:pPr>
      <w:r>
        <w:rPr>
          <w:sz w:val="30"/>
          <w:szCs w:val="30"/>
        </w:rPr>
        <mc:AlternateContent>
          <mc:Choice Requires="wps">
            <w:drawing>
              <wp:inline distT="0" distB="0" distL="114300" distR="114300">
                <wp:extent cx="5378450" cy="1972945"/>
                <wp:effectExtent l="6350" t="6350" r="6350" b="20955"/>
                <wp:docPr id="2" name="文本框 19"/>
                <wp:cNvGraphicFramePr/>
                <a:graphic xmlns:a="http://schemas.openxmlformats.org/drawingml/2006/main">
                  <a:graphicData uri="http://schemas.microsoft.com/office/word/2010/wordprocessingShape">
                    <wps:wsp>
                      <wps:cNvSpPr txBox="true">
                        <a:spLocks noRot="true"/>
                      </wps:cNvSpPr>
                      <wps:spPr>
                        <a:xfrm>
                          <a:off x="0" y="0"/>
                          <a:ext cx="5378450" cy="1972945"/>
                        </a:xfrm>
                        <a:prstGeom prst="rect">
                          <a:avLst/>
                        </a:prstGeom>
                        <a:gradFill rotWithShape="true">
                          <a:gsLst>
                            <a:gs pos="0">
                              <a:srgbClr val="F2DBDB"/>
                            </a:gs>
                            <a:gs pos="100000">
                              <a:srgbClr val="FFFFFF"/>
                            </a:gs>
                          </a:gsLst>
                          <a:lin ang="5400000" scaled="true"/>
                          <a:tileRect/>
                        </a:gradFill>
                        <a:ln w="12700" cap="flat" cmpd="sng">
                          <a:solidFill>
                            <a:srgbClr val="484329"/>
                          </a:solidFill>
                          <a:prstDash val="solid"/>
                          <a:miter/>
                          <a:headEnd type="none" w="med" len="med"/>
                          <a:tailEnd type="none" w="med" len="med"/>
                        </a:ln>
                      </wps:spPr>
                      <wps:txbx>
                        <w:txbxContent>
                          <w:p>
                            <w:pPr>
                              <w:pStyle w:val="16"/>
                              <w:spacing w:line="360" w:lineRule="exact"/>
                              <w:ind w:firstLine="437"/>
                              <w:jc w:val="both"/>
                              <w:rPr>
                                <w:rFonts w:ascii="Times New Roman" w:hAnsi="Times New Roman"/>
                                <w:sz w:val="21"/>
                              </w:rPr>
                            </w:pPr>
                            <w:r>
                              <w:rPr>
                                <w:rFonts w:ascii="Times New Roman" w:hAnsi="Times New Roman"/>
                                <w:sz w:val="21"/>
                              </w:rPr>
                              <w:t>海浪警报分为Ⅰ、Ⅱ、Ⅲ、Ⅳ四级，颜色依次为红色、橙色、黄色和蓝色。</w:t>
                            </w:r>
                          </w:p>
                          <w:p>
                            <w:pPr>
                              <w:pStyle w:val="16"/>
                              <w:spacing w:line="360" w:lineRule="exact"/>
                              <w:ind w:firstLine="437"/>
                              <w:jc w:val="both"/>
                              <w:rPr>
                                <w:rFonts w:ascii="Times New Roman" w:hAnsi="Times New Roman"/>
                                <w:sz w:val="21"/>
                              </w:rPr>
                            </w:pPr>
                            <w:r>
                              <w:rPr>
                                <w:rFonts w:ascii="Times New Roman" w:hAnsi="Times New Roman"/>
                                <w:sz w:val="21"/>
                              </w:rPr>
                              <w:t>海浪红色警报：浙江近岸海域有效波高达到或超过6米，或者125°E以西近海海域有效波高达到或超过14米。</w:t>
                            </w:r>
                          </w:p>
                          <w:p>
                            <w:pPr>
                              <w:pStyle w:val="16"/>
                              <w:spacing w:line="360" w:lineRule="exact"/>
                              <w:ind w:firstLine="437"/>
                              <w:jc w:val="both"/>
                              <w:rPr>
                                <w:rFonts w:ascii="Times New Roman" w:hAnsi="Times New Roman"/>
                                <w:sz w:val="21"/>
                              </w:rPr>
                            </w:pPr>
                            <w:r>
                              <w:rPr>
                                <w:rFonts w:ascii="Times New Roman" w:hAnsi="Times New Roman"/>
                                <w:sz w:val="21"/>
                              </w:rPr>
                              <w:t>海浪橙色警报：浙江近岸海域有效波高达到或超过4.5米并且小于6米，或者125°E以西近海海域有效波高达到或超过9米并且小于14米。</w:t>
                            </w:r>
                          </w:p>
                          <w:p>
                            <w:pPr>
                              <w:pStyle w:val="16"/>
                              <w:spacing w:line="360" w:lineRule="exact"/>
                              <w:ind w:firstLine="437"/>
                              <w:jc w:val="both"/>
                              <w:rPr>
                                <w:rFonts w:ascii="Times New Roman" w:hAnsi="Times New Roman"/>
                                <w:sz w:val="21"/>
                              </w:rPr>
                            </w:pPr>
                            <w:r>
                              <w:rPr>
                                <w:rFonts w:ascii="Times New Roman" w:hAnsi="Times New Roman"/>
                                <w:sz w:val="21"/>
                              </w:rPr>
                              <w:t>海浪黄色警报：浙江近岸海域有效波高达到或超过3.5米并且小于4.5米，或者125°E以西近海海域有效波高达到或超过6米并且小于9米。</w:t>
                            </w:r>
                          </w:p>
                          <w:p>
                            <w:pPr>
                              <w:pStyle w:val="16"/>
                              <w:spacing w:line="360" w:lineRule="exact"/>
                              <w:ind w:firstLine="437"/>
                              <w:jc w:val="both"/>
                              <w:rPr>
                                <w:rFonts w:ascii="Times New Roman" w:hAnsi="Times New Roman" w:eastAsia="微软雅黑"/>
                                <w:sz w:val="21"/>
                                <w:szCs w:val="21"/>
                              </w:rPr>
                            </w:pPr>
                            <w:r>
                              <w:rPr>
                                <w:rFonts w:ascii="Times New Roman" w:hAnsi="Times New Roman"/>
                                <w:sz w:val="21"/>
                                <w:szCs w:val="21"/>
                              </w:rPr>
                              <w:t>海浪蓝色警报：浙江近岸海域有效波高达到或超过2.5米并且小于3.5米。</w:t>
                            </w:r>
                          </w:p>
                        </w:txbxContent>
                      </wps:txbx>
                      <wps:bodyPr wrap="square" upright="true"/>
                    </wps:wsp>
                  </a:graphicData>
                </a:graphic>
              </wp:inline>
            </w:drawing>
          </mc:Choice>
          <mc:Fallback>
            <w:pict>
              <v:shape id="文本框 19" o:spid="_x0000_s1026" o:spt="202" type="#_x0000_t202" style="height:155.35pt;width:423.5pt;" fillcolor="#F2DBDB" filled="t" stroked="t" coordsize="21600,21600" o:gfxdata="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KyzDe7VAAAABQEAAA8AAAAAAAAAAQAgAAAAOAAAAGRycy9kb3ducmV2&#10;LnhtbFBLAQIUABQAAAAIAIdO4kB+hX/XWwIAAMMEAAAOAAAAAAAAAAEAIAAAADoBAABkcnMvZTJv&#10;RG9jLnhtbFBLBQYAAAAABgAGAFkBAAAHBgAAAAA=&#10;">
                <v:fill type="gradient" on="t" color2="#FFFFFF" focus="100%" focussize="0,0" rotate="t"/>
                <v:stroke weight="1pt" color="#484329" joinstyle="miter"/>
                <v:imagedata o:title=""/>
                <o:lock v:ext="edit" rotation="t" aspectratio="f"/>
                <v:textbox>
                  <w:txbxContent>
                    <w:p>
                      <w:pPr>
                        <w:pStyle w:val="16"/>
                        <w:spacing w:line="360" w:lineRule="exact"/>
                        <w:ind w:firstLine="437"/>
                        <w:jc w:val="both"/>
                        <w:rPr>
                          <w:rFonts w:ascii="Times New Roman" w:hAnsi="Times New Roman"/>
                          <w:sz w:val="21"/>
                        </w:rPr>
                      </w:pPr>
                      <w:r>
                        <w:rPr>
                          <w:rFonts w:ascii="Times New Roman" w:hAnsi="Times New Roman"/>
                          <w:sz w:val="21"/>
                        </w:rPr>
                        <w:t>海浪警报分为Ⅰ、Ⅱ、Ⅲ、Ⅳ四级，颜色依次为红色、橙色、黄色和蓝色。</w:t>
                      </w:r>
                    </w:p>
                    <w:p>
                      <w:pPr>
                        <w:pStyle w:val="16"/>
                        <w:spacing w:line="360" w:lineRule="exact"/>
                        <w:ind w:firstLine="437"/>
                        <w:jc w:val="both"/>
                        <w:rPr>
                          <w:rFonts w:ascii="Times New Roman" w:hAnsi="Times New Roman"/>
                          <w:sz w:val="21"/>
                        </w:rPr>
                      </w:pPr>
                      <w:r>
                        <w:rPr>
                          <w:rFonts w:ascii="Times New Roman" w:hAnsi="Times New Roman"/>
                          <w:sz w:val="21"/>
                        </w:rPr>
                        <w:t>海浪红色警报：浙江近岸海域有效波高达到或超过6米，或者125°E以西近海海域有效波高达到或超过14米。</w:t>
                      </w:r>
                    </w:p>
                    <w:p>
                      <w:pPr>
                        <w:pStyle w:val="16"/>
                        <w:spacing w:line="360" w:lineRule="exact"/>
                        <w:ind w:firstLine="437"/>
                        <w:jc w:val="both"/>
                        <w:rPr>
                          <w:rFonts w:ascii="Times New Roman" w:hAnsi="Times New Roman"/>
                          <w:sz w:val="21"/>
                        </w:rPr>
                      </w:pPr>
                      <w:r>
                        <w:rPr>
                          <w:rFonts w:ascii="Times New Roman" w:hAnsi="Times New Roman"/>
                          <w:sz w:val="21"/>
                        </w:rPr>
                        <w:t>海浪橙色警报：浙江近岸海域有效波高达到或超过4.5米并且小于6米，或者125°E以西近海海域有效波高达到或超过9米并且小于14米。</w:t>
                      </w:r>
                    </w:p>
                    <w:p>
                      <w:pPr>
                        <w:pStyle w:val="16"/>
                        <w:spacing w:line="360" w:lineRule="exact"/>
                        <w:ind w:firstLine="437"/>
                        <w:jc w:val="both"/>
                        <w:rPr>
                          <w:rFonts w:ascii="Times New Roman" w:hAnsi="Times New Roman"/>
                          <w:sz w:val="21"/>
                        </w:rPr>
                      </w:pPr>
                      <w:r>
                        <w:rPr>
                          <w:rFonts w:ascii="Times New Roman" w:hAnsi="Times New Roman"/>
                          <w:sz w:val="21"/>
                        </w:rPr>
                        <w:t>海浪黄色警报：浙江近岸海域有效波高达到或超过3.5米并且小于4.5米，或者125°E以西近海海域有效波高达到或超过6米并且小于9米。</w:t>
                      </w:r>
                    </w:p>
                    <w:p>
                      <w:pPr>
                        <w:pStyle w:val="16"/>
                        <w:spacing w:line="360" w:lineRule="exact"/>
                        <w:ind w:firstLine="437"/>
                        <w:jc w:val="both"/>
                        <w:rPr>
                          <w:rFonts w:ascii="Times New Roman" w:hAnsi="Times New Roman" w:eastAsia="微软雅黑"/>
                          <w:sz w:val="21"/>
                          <w:szCs w:val="21"/>
                        </w:rPr>
                      </w:pPr>
                      <w:r>
                        <w:rPr>
                          <w:rFonts w:ascii="Times New Roman" w:hAnsi="Times New Roman"/>
                          <w:sz w:val="21"/>
                          <w:szCs w:val="21"/>
                        </w:rPr>
                        <w:t>海浪蓝色警报：浙江近岸海域有效波高达到或超过2.5米并且小于3.5米。</w:t>
                      </w:r>
                    </w:p>
                  </w:txbxContent>
                </v:textbox>
                <w10:wrap type="none"/>
                <w10:anchorlock/>
              </v:shape>
            </w:pict>
          </mc:Fallback>
        </mc:AlternateContent>
      </w:r>
    </w:p>
    <w:p>
      <w:pPr>
        <w:spacing w:line="360" w:lineRule="auto"/>
        <w:ind w:firstLine="600" w:firstLineChars="200"/>
        <w:rPr>
          <w:sz w:val="30"/>
          <w:szCs w:val="30"/>
        </w:rPr>
        <w:sectPr>
          <w:footerReference r:id="rId11" w:type="default"/>
          <w:footerReference r:id="rId12" w:type="even"/>
          <w:footnotePr>
            <w:numRestart w:val="eachSect"/>
          </w:footnotePr>
          <w:pgSz w:w="11906" w:h="16838"/>
          <w:pgMar w:top="1418" w:right="1701" w:bottom="1418" w:left="1701" w:header="851" w:footer="992" w:gutter="0"/>
          <w:cols w:space="720" w:num="1"/>
          <w:docGrid w:type="linesAndChars" w:linePitch="312" w:charSpace="0"/>
        </w:sectPr>
      </w:pPr>
    </w:p>
    <w:bookmarkEnd w:id="7"/>
    <w:bookmarkEnd w:id="8"/>
    <w:p>
      <w:pPr>
        <w:pStyle w:val="2"/>
        <w:spacing w:before="0" w:after="0" w:line="240" w:lineRule="auto"/>
        <w:rPr>
          <w:rFonts w:hint="eastAsia" w:ascii="黑体" w:hAnsi="黑体" w:eastAsia="黑体"/>
        </w:rPr>
      </w:pPr>
      <w:bookmarkStart w:id="12" w:name="_Toc1031086563"/>
      <w:bookmarkStart w:id="13" w:name="_Toc314748391"/>
      <w:bookmarkStart w:id="14" w:name="_Toc344382698"/>
      <w:r>
        <w:rPr>
          <w:rFonts w:hint="eastAsia" w:ascii="黑体" w:hAnsi="黑体" w:eastAsia="黑体"/>
        </w:rPr>
        <w:t>四</w:t>
      </w:r>
      <w:r>
        <w:rPr>
          <w:rFonts w:ascii="黑体" w:hAnsi="黑体" w:eastAsia="黑体"/>
        </w:rPr>
        <w:t>、赤潮灾害</w:t>
      </w:r>
      <w:bookmarkEnd w:id="12"/>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sz w:val="30"/>
          <w:szCs w:val="30"/>
        </w:rPr>
      </w:pPr>
      <w:r>
        <w:rPr>
          <w:rFonts w:hint="eastAsia"/>
          <w:sz w:val="30"/>
          <w:szCs w:val="30"/>
        </w:rPr>
        <w:t>2022年全省海域共发现赤潮17次，累计面积1 552平方千米，其中有害赤潮1次，面积20平方千米，未造成直接经济损失和人员伤亡。2022年赤潮发现次数和累计面积均</w:t>
      </w:r>
      <w:r>
        <w:rPr>
          <w:rFonts w:hint="eastAsia"/>
          <w:sz w:val="30"/>
          <w:szCs w:val="30"/>
          <w:lang w:eastAsia="zh-CN"/>
        </w:rPr>
        <w:t>少</w:t>
      </w:r>
      <w:r>
        <w:rPr>
          <w:rFonts w:hint="eastAsia"/>
          <w:sz w:val="30"/>
          <w:szCs w:val="30"/>
        </w:rPr>
        <w:t>于前</w:t>
      </w:r>
      <w:r>
        <w:rPr>
          <w:sz w:val="30"/>
          <w:szCs w:val="30"/>
        </w:rPr>
        <w:t>10年平均值</w:t>
      </w:r>
      <w:r>
        <w:rPr>
          <w:rFonts w:hint="eastAsia"/>
          <w:sz w:val="30"/>
          <w:szCs w:val="30"/>
        </w:rPr>
        <w:t>（20次、2 170平方千米）</w:t>
      </w:r>
      <w:r>
        <w:rPr>
          <w:sz w:val="30"/>
          <w:szCs w:val="30"/>
        </w:rPr>
        <w:t>（见</w:t>
      </w:r>
      <w:r>
        <w:rPr>
          <w:rFonts w:hint="eastAsia"/>
          <w:sz w:val="30"/>
          <w:szCs w:val="30"/>
        </w:rPr>
        <w:t>图</w:t>
      </w:r>
      <w:r>
        <w:rPr>
          <w:rFonts w:hint="eastAsia"/>
          <w:sz w:val="30"/>
          <w:szCs w:val="30"/>
          <w:lang w:val="en-US" w:eastAsia="zh-CN"/>
        </w:rPr>
        <w:t>8</w:t>
      </w:r>
      <w:r>
        <w:rPr>
          <w:sz w:val="30"/>
          <w:szCs w:val="30"/>
        </w:rPr>
        <w:t>）</w:t>
      </w:r>
      <w:r>
        <w:rPr>
          <w:rFonts w:hint="eastAsia"/>
          <w:sz w:val="30"/>
          <w:szCs w:val="30"/>
        </w:rPr>
        <w:t>。</w:t>
      </w:r>
      <w:r>
        <w:rPr>
          <w:sz w:val="30"/>
          <w:szCs w:val="30"/>
        </w:rPr>
        <w:t>与20</w:t>
      </w:r>
      <w:r>
        <w:rPr>
          <w:rFonts w:hint="eastAsia"/>
          <w:sz w:val="30"/>
          <w:szCs w:val="30"/>
        </w:rPr>
        <w:t>21</w:t>
      </w:r>
      <w:r>
        <w:rPr>
          <w:sz w:val="30"/>
          <w:szCs w:val="30"/>
        </w:rPr>
        <w:t>年</w:t>
      </w:r>
      <w:r>
        <w:rPr>
          <w:rFonts w:hint="eastAsia"/>
          <w:sz w:val="30"/>
          <w:szCs w:val="30"/>
        </w:rPr>
        <w:t>（22次，7 084平方千米）</w:t>
      </w:r>
      <w:r>
        <w:rPr>
          <w:sz w:val="30"/>
          <w:szCs w:val="30"/>
        </w:rPr>
        <w:t>相比，</w:t>
      </w:r>
      <w:r>
        <w:rPr>
          <w:rFonts w:hint="eastAsia"/>
          <w:sz w:val="30"/>
          <w:szCs w:val="30"/>
        </w:rPr>
        <w:t>赤潮发现次数和累计面积分别减少23%和78%。</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00" w:firstLineChars="200"/>
        <w:textAlignment w:val="auto"/>
        <w:rPr>
          <w:rFonts w:hint="eastAsia"/>
          <w:sz w:val="30"/>
          <w:szCs w:val="30"/>
        </w:rPr>
      </w:pPr>
      <w:r>
        <w:rPr>
          <w:rFonts w:hint="eastAsia"/>
          <w:sz w:val="30"/>
          <w:szCs w:val="30"/>
        </w:rPr>
        <w:t>单次持续时间最长的赤潮是5月5日</w:t>
      </w:r>
      <w:r>
        <w:rPr>
          <w:rFonts w:hint="eastAsia" w:eastAsia="仿宋_GB2312"/>
          <w:sz w:val="30"/>
          <w:szCs w:val="30"/>
        </w:rPr>
        <w:t>-</w:t>
      </w:r>
      <w:r>
        <w:rPr>
          <w:rFonts w:hint="eastAsia"/>
          <w:sz w:val="30"/>
          <w:szCs w:val="30"/>
        </w:rPr>
        <w:t>6月9日在宁波市象山县石浦至渔山海域发现的赤潮过程，该赤潮过程持续时间共计36天，赤潮优势生物为东海原甲藻；单次面积最大的赤潮是4月10日</w:t>
      </w:r>
      <w:r>
        <w:rPr>
          <w:rFonts w:hint="eastAsia" w:eastAsia="仿宋_GB2312"/>
          <w:sz w:val="30"/>
          <w:szCs w:val="30"/>
        </w:rPr>
        <w:t>-</w:t>
      </w:r>
      <w:r>
        <w:rPr>
          <w:rFonts w:hint="eastAsia"/>
          <w:sz w:val="30"/>
          <w:szCs w:val="30"/>
        </w:rPr>
        <w:t>4月15日在温州市苍南县大渔湾至渔寮海域发现的赤潮过程，最大覆盖面积为533平方千米，赤潮优势生物为环胺藻</w:t>
      </w:r>
      <w:r>
        <w:rPr>
          <w:sz w:val="30"/>
          <w:szCs w:val="30"/>
        </w:rPr>
        <w:t>（见</w:t>
      </w:r>
      <w:r>
        <w:rPr>
          <w:rFonts w:hint="eastAsia"/>
          <w:sz w:val="30"/>
          <w:szCs w:val="30"/>
        </w:rPr>
        <w:t>表5</w:t>
      </w:r>
      <w:r>
        <w:rPr>
          <w:sz w:val="30"/>
          <w:szCs w:val="30"/>
        </w:rPr>
        <w:t>）</w:t>
      </w:r>
      <w:r>
        <w:rPr>
          <w:rFonts w:hint="eastAsia"/>
          <w:sz w:val="30"/>
          <w:szCs w:val="30"/>
        </w:rPr>
        <w:t>。</w:t>
      </w:r>
    </w:p>
    <w:p>
      <w:pPr>
        <w:spacing w:after="156" w:afterLines="50" w:line="360" w:lineRule="auto"/>
        <w:jc w:val="center"/>
        <w:rPr>
          <w:rFonts w:hint="eastAsia"/>
          <w:sz w:val="30"/>
          <w:szCs w:val="30"/>
        </w:rPr>
      </w:pPr>
      <w:r>
        <w:rPr>
          <w:rFonts w:hint="eastAsia"/>
          <w:sz w:val="30"/>
          <w:szCs w:val="30"/>
        </w:rPr>
        <w:drawing>
          <wp:inline distT="0" distB="0" distL="114300" distR="114300">
            <wp:extent cx="4876165" cy="2769235"/>
            <wp:effectExtent l="0" t="0" r="635" b="12065"/>
            <wp:docPr id="14" name="图片 43" descr="赤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3" descr="赤潮"/>
                    <pic:cNvPicPr>
                      <a:picLocks noChangeAspect="true"/>
                    </pic:cNvPicPr>
                  </pic:nvPicPr>
                  <pic:blipFill>
                    <a:blip r:embed="rId24"/>
                    <a:srcRect l="482" t="6198" r="482" b="6943"/>
                    <a:stretch>
                      <a:fillRect/>
                    </a:stretch>
                  </pic:blipFill>
                  <pic:spPr>
                    <a:xfrm>
                      <a:off x="0" y="0"/>
                      <a:ext cx="4876165" cy="2769235"/>
                    </a:xfrm>
                    <a:prstGeom prst="rect">
                      <a:avLst/>
                    </a:prstGeom>
                    <a:noFill/>
                    <a:ln>
                      <a:noFill/>
                    </a:ln>
                  </pic:spPr>
                </pic:pic>
              </a:graphicData>
            </a:graphic>
          </wp:inline>
        </w:drawing>
      </w:r>
    </w:p>
    <w:p>
      <w:pPr>
        <w:widowControl/>
        <w:jc w:val="center"/>
        <w:rPr>
          <w:rFonts w:hint="eastAsia"/>
          <w:sz w:val="24"/>
        </w:rPr>
      </w:pPr>
      <w:r>
        <w:rPr>
          <w:sz w:val="24"/>
        </w:rPr>
        <w:t>图</w:t>
      </w:r>
      <w:r>
        <w:rPr>
          <w:rFonts w:hint="eastAsia"/>
          <w:sz w:val="24"/>
          <w:lang w:val="en-US" w:eastAsia="zh-CN"/>
        </w:rPr>
        <w:t>8</w:t>
      </w:r>
      <w:r>
        <w:rPr>
          <w:sz w:val="24"/>
        </w:rPr>
        <w:t xml:space="preserve">  20</w:t>
      </w:r>
      <w:r>
        <w:rPr>
          <w:rFonts w:hint="eastAsia"/>
          <w:sz w:val="24"/>
        </w:rPr>
        <w:t>12</w:t>
      </w:r>
      <w:r>
        <w:rPr>
          <w:rFonts w:hint="eastAsia" w:eastAsia="黑体"/>
          <w:color w:val="000000"/>
          <w:kern w:val="0"/>
          <w:sz w:val="24"/>
          <w:lang w:val="zh-CN"/>
        </w:rPr>
        <w:t>-</w:t>
      </w:r>
      <w:r>
        <w:rPr>
          <w:sz w:val="24"/>
        </w:rPr>
        <w:t>20</w:t>
      </w:r>
      <w:r>
        <w:rPr>
          <w:rFonts w:hint="eastAsia"/>
          <w:sz w:val="24"/>
        </w:rPr>
        <w:t>22</w:t>
      </w:r>
      <w:r>
        <w:rPr>
          <w:sz w:val="24"/>
        </w:rPr>
        <w:t>年</w:t>
      </w:r>
      <w:r>
        <w:rPr>
          <w:rFonts w:hint="eastAsia"/>
          <w:sz w:val="24"/>
        </w:rPr>
        <w:t>浙江省赤潮灾害累计面积及发现次数</w:t>
      </w:r>
    </w:p>
    <w:p>
      <w:pPr>
        <w:ind w:firstLine="600" w:firstLineChars="200"/>
        <w:jc w:val="left"/>
        <w:rPr>
          <w:rFonts w:hint="eastAsia"/>
          <w:sz w:val="30"/>
          <w:szCs w:val="30"/>
        </w:rPr>
      </w:pPr>
    </w:p>
    <w:p>
      <w:pPr>
        <w:spacing w:before="156" w:beforeLines="50"/>
        <w:jc w:val="center"/>
        <w:rPr>
          <w:rFonts w:hint="eastAsia"/>
          <w:sz w:val="30"/>
          <w:szCs w:val="30"/>
        </w:rPr>
      </w:pPr>
      <w:r>
        <w:rPr>
          <w:sz w:val="24"/>
        </w:rPr>
        <w:t>表</w:t>
      </w:r>
      <w:r>
        <w:rPr>
          <w:rFonts w:hint="eastAsia"/>
          <w:sz w:val="24"/>
        </w:rPr>
        <w:t>5</w:t>
      </w:r>
      <w:r>
        <w:rPr>
          <w:sz w:val="24"/>
        </w:rPr>
        <w:t xml:space="preserve">  20</w:t>
      </w:r>
      <w:r>
        <w:rPr>
          <w:rFonts w:hint="eastAsia"/>
          <w:sz w:val="24"/>
        </w:rPr>
        <w:t>22</w:t>
      </w:r>
      <w:r>
        <w:rPr>
          <w:sz w:val="24"/>
        </w:rPr>
        <w:t>年浙江海域</w:t>
      </w:r>
      <w:r>
        <w:rPr>
          <w:rFonts w:hint="eastAsia"/>
          <w:sz w:val="24"/>
        </w:rPr>
        <w:t>主要赤潮过程统计</w:t>
      </w:r>
    </w:p>
    <w:tbl>
      <w:tblPr>
        <w:tblStyle w:val="20"/>
        <w:tblW w:w="8673" w:type="dxa"/>
        <w:tblInd w:w="0"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1879"/>
        <w:gridCol w:w="3959"/>
        <w:gridCol w:w="1275"/>
        <w:gridCol w:w="1560"/>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675" w:hRule="exact"/>
        </w:trPr>
        <w:tc>
          <w:tcPr>
            <w:tcW w:w="1879" w:type="dxa"/>
            <w:shd w:val="clear" w:color="auto" w:fill="0F76BB"/>
            <w:noWrap w:val="0"/>
            <w:vAlign w:val="center"/>
          </w:tcPr>
          <w:p>
            <w:pPr>
              <w:widowControl/>
              <w:snapToGrid w:val="0"/>
              <w:jc w:val="center"/>
              <w:rPr>
                <w:b/>
                <w:bCs/>
                <w:color w:val="FFFFFF"/>
                <w:kern w:val="0"/>
                <w:szCs w:val="21"/>
              </w:rPr>
            </w:pPr>
            <w:r>
              <w:rPr>
                <w:rFonts w:hint="eastAsia"/>
                <w:b/>
                <w:bCs/>
                <w:color w:val="FFFFFF"/>
                <w:szCs w:val="21"/>
              </w:rPr>
              <w:t>发现时间</w:t>
            </w:r>
          </w:p>
        </w:tc>
        <w:tc>
          <w:tcPr>
            <w:tcW w:w="3959" w:type="dxa"/>
            <w:tcBorders>
              <w:right w:val="single" w:color="FFFFFF" w:sz="4" w:space="0"/>
            </w:tcBorders>
            <w:shd w:val="clear" w:color="auto" w:fill="0F76BB"/>
            <w:noWrap w:val="0"/>
            <w:vAlign w:val="center"/>
          </w:tcPr>
          <w:p>
            <w:pPr>
              <w:widowControl/>
              <w:snapToGrid w:val="0"/>
              <w:jc w:val="center"/>
              <w:rPr>
                <w:b/>
                <w:bCs/>
                <w:color w:val="FFFFFF"/>
                <w:kern w:val="0"/>
                <w:szCs w:val="21"/>
              </w:rPr>
            </w:pPr>
            <w:r>
              <w:rPr>
                <w:rFonts w:hint="eastAsia"/>
                <w:b/>
                <w:bCs/>
                <w:color w:val="FFFFFF"/>
                <w:kern w:val="0"/>
                <w:szCs w:val="21"/>
              </w:rPr>
              <w:t>发现海域</w:t>
            </w:r>
          </w:p>
        </w:tc>
        <w:tc>
          <w:tcPr>
            <w:tcW w:w="1275" w:type="dxa"/>
            <w:tcBorders>
              <w:left w:val="single" w:color="FFFFFF" w:sz="4" w:space="0"/>
            </w:tcBorders>
            <w:shd w:val="clear" w:color="auto" w:fill="0F76BB"/>
            <w:noWrap w:val="0"/>
            <w:vAlign w:val="center"/>
          </w:tcPr>
          <w:p>
            <w:pPr>
              <w:snapToGrid w:val="0"/>
              <w:jc w:val="center"/>
              <w:rPr>
                <w:rFonts w:hint="eastAsia"/>
                <w:b/>
                <w:bCs/>
                <w:color w:val="FFFFFF"/>
                <w:kern w:val="0"/>
                <w:szCs w:val="21"/>
              </w:rPr>
            </w:pPr>
            <w:r>
              <w:rPr>
                <w:rFonts w:hint="eastAsia"/>
                <w:b/>
                <w:bCs/>
                <w:color w:val="FFFFFF"/>
                <w:kern w:val="0"/>
                <w:szCs w:val="21"/>
              </w:rPr>
              <w:t>最大面积</w:t>
            </w:r>
          </w:p>
          <w:p>
            <w:pPr>
              <w:snapToGrid w:val="0"/>
              <w:jc w:val="center"/>
              <w:rPr>
                <w:b/>
                <w:bCs/>
                <w:color w:val="FFFFFF"/>
                <w:kern w:val="0"/>
                <w:szCs w:val="21"/>
              </w:rPr>
            </w:pPr>
            <w:r>
              <w:rPr>
                <w:rFonts w:hint="eastAsia"/>
                <w:b/>
                <w:bCs/>
                <w:color w:val="FFFFFF"/>
                <w:kern w:val="0"/>
                <w:szCs w:val="21"/>
              </w:rPr>
              <w:t>（平方千米）</w:t>
            </w:r>
          </w:p>
        </w:tc>
        <w:tc>
          <w:tcPr>
            <w:tcW w:w="1560" w:type="dxa"/>
            <w:tcBorders>
              <w:right w:val="single" w:color="FFFFFF" w:sz="6" w:space="0"/>
            </w:tcBorders>
            <w:shd w:val="clear" w:color="auto" w:fill="0F76BB"/>
            <w:noWrap w:val="0"/>
            <w:vAlign w:val="center"/>
          </w:tcPr>
          <w:p>
            <w:pPr>
              <w:widowControl/>
              <w:snapToGrid w:val="0"/>
              <w:jc w:val="center"/>
              <w:rPr>
                <w:b/>
                <w:bCs/>
                <w:color w:val="FFFFFF"/>
                <w:kern w:val="0"/>
                <w:szCs w:val="21"/>
              </w:rPr>
            </w:pPr>
            <w:r>
              <w:rPr>
                <w:rFonts w:hint="eastAsia"/>
                <w:b/>
                <w:bCs/>
                <w:color w:val="FFFFFF"/>
                <w:kern w:val="0"/>
                <w:szCs w:val="21"/>
              </w:rPr>
              <w:t>赤潮优势生物</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9"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color w:val="000000"/>
                <w:szCs w:val="21"/>
              </w:rPr>
              <w:t>4</w:t>
            </w:r>
            <w:r>
              <w:rPr>
                <w:rFonts w:hint="eastAsia"/>
                <w:color w:val="000000"/>
                <w:szCs w:val="21"/>
              </w:rPr>
              <w:t>月10日-4月15日</w:t>
            </w:r>
          </w:p>
        </w:tc>
        <w:tc>
          <w:tcPr>
            <w:tcW w:w="3959" w:type="dxa"/>
            <w:tcBorders>
              <w:bottom w:val="single" w:color="FFFFFF" w:sz="6" w:space="0"/>
              <w:right w:val="single" w:color="FFFFFF" w:sz="4"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温州苍南</w:t>
            </w:r>
            <w:r>
              <w:rPr>
                <w:color w:val="000000"/>
                <w:szCs w:val="21"/>
              </w:rPr>
              <w:t>大渔湾至渔寮海域</w:t>
            </w:r>
          </w:p>
        </w:tc>
        <w:tc>
          <w:tcPr>
            <w:tcW w:w="1275" w:type="dxa"/>
            <w:tcBorders>
              <w:left w:val="single" w:color="FFFFFF" w:sz="4" w:space="0"/>
              <w:bottom w:val="single" w:color="FFFFFF" w:sz="6" w:space="0"/>
            </w:tcBorders>
            <w:shd w:val="clear" w:color="auto" w:fill="B9E6FB"/>
            <w:noWrap w:val="0"/>
            <w:vAlign w:val="center"/>
          </w:tcPr>
          <w:p>
            <w:pPr>
              <w:adjustRightInd w:val="0"/>
              <w:snapToGrid w:val="0"/>
              <w:ind w:right="420" w:rightChars="200"/>
              <w:jc w:val="right"/>
              <w:rPr>
                <w:color w:val="000000"/>
                <w:szCs w:val="21"/>
              </w:rPr>
            </w:pPr>
            <w:r>
              <w:rPr>
                <w:rFonts w:hint="eastAsia"/>
                <w:color w:val="000000"/>
                <w:szCs w:val="21"/>
              </w:rPr>
              <w:t>533</w:t>
            </w:r>
          </w:p>
        </w:tc>
        <w:tc>
          <w:tcPr>
            <w:tcW w:w="1560"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环胺藻</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9" w:type="dxa"/>
            <w:shd w:val="clear" w:color="auto" w:fill="E2F4FD"/>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val="en-US" w:eastAsia="zh-CN"/>
              </w:rPr>
              <w:t>5</w:t>
            </w:r>
            <w:r>
              <w:rPr>
                <w:rFonts w:hint="eastAsia"/>
                <w:color w:val="000000"/>
                <w:szCs w:val="21"/>
              </w:rPr>
              <w:t>月</w:t>
            </w:r>
            <w:r>
              <w:rPr>
                <w:rFonts w:hint="eastAsia"/>
                <w:color w:val="000000"/>
                <w:szCs w:val="21"/>
                <w:lang w:val="en-US" w:eastAsia="zh-CN"/>
              </w:rPr>
              <w:t>6</w:t>
            </w:r>
            <w:r>
              <w:rPr>
                <w:rFonts w:hint="eastAsia"/>
                <w:color w:val="000000"/>
                <w:szCs w:val="21"/>
              </w:rPr>
              <w:t>日-</w:t>
            </w:r>
            <w:r>
              <w:rPr>
                <w:rFonts w:hint="eastAsia"/>
                <w:color w:val="000000"/>
                <w:szCs w:val="21"/>
                <w:lang w:val="en-US" w:eastAsia="zh-CN"/>
              </w:rPr>
              <w:t>5</w:t>
            </w:r>
            <w:r>
              <w:rPr>
                <w:rFonts w:hint="eastAsia"/>
                <w:color w:val="000000"/>
                <w:szCs w:val="21"/>
              </w:rPr>
              <w:t>月</w:t>
            </w:r>
            <w:r>
              <w:rPr>
                <w:rFonts w:hint="eastAsia"/>
                <w:color w:val="000000"/>
                <w:szCs w:val="21"/>
                <w:lang w:val="en-US" w:eastAsia="zh-CN"/>
              </w:rPr>
              <w:t>23</w:t>
            </w:r>
            <w:r>
              <w:rPr>
                <w:rFonts w:hint="eastAsia"/>
                <w:color w:val="000000"/>
                <w:szCs w:val="21"/>
              </w:rPr>
              <w:t>日</w:t>
            </w:r>
          </w:p>
        </w:tc>
        <w:tc>
          <w:tcPr>
            <w:tcW w:w="3959" w:type="dxa"/>
            <w:tcBorders>
              <w:right w:val="single" w:color="FFFFFF" w:sz="4" w:space="0"/>
            </w:tcBorders>
            <w:shd w:val="clear" w:color="auto" w:fill="E2F4FD"/>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eastAsia="zh-CN"/>
              </w:rPr>
              <w:t>台州椒江大陈</w:t>
            </w:r>
            <w:r>
              <w:rPr>
                <w:color w:val="000000"/>
                <w:szCs w:val="21"/>
              </w:rPr>
              <w:t>海域</w:t>
            </w:r>
          </w:p>
        </w:tc>
        <w:tc>
          <w:tcPr>
            <w:tcW w:w="1275" w:type="dxa"/>
            <w:tcBorders>
              <w:left w:val="single" w:color="FFFFFF" w:sz="4" w:space="0"/>
            </w:tcBorders>
            <w:shd w:val="clear" w:color="auto" w:fill="E2F4FD"/>
            <w:noWrap w:val="0"/>
            <w:vAlign w:val="center"/>
          </w:tcPr>
          <w:p>
            <w:pPr>
              <w:adjustRightInd w:val="0"/>
              <w:snapToGrid w:val="0"/>
              <w:ind w:right="420" w:rightChars="200"/>
              <w:jc w:val="right"/>
              <w:rPr>
                <w:rFonts w:hint="default" w:eastAsia="宋体"/>
                <w:color w:val="000000"/>
                <w:kern w:val="2"/>
                <w:sz w:val="21"/>
                <w:szCs w:val="21"/>
                <w:lang w:val="en-US" w:eastAsia="zh-CN" w:bidi="ar-SA"/>
              </w:rPr>
            </w:pPr>
            <w:r>
              <w:rPr>
                <w:rFonts w:hint="eastAsia"/>
                <w:color w:val="000000"/>
                <w:szCs w:val="21"/>
                <w:lang w:val="en-US" w:eastAsia="zh-CN"/>
              </w:rPr>
              <w:t>120</w:t>
            </w:r>
          </w:p>
        </w:tc>
        <w:tc>
          <w:tcPr>
            <w:tcW w:w="1560" w:type="dxa"/>
            <w:tcBorders>
              <w:right w:val="single" w:color="FFFFFF" w:sz="6" w:space="0"/>
            </w:tcBorders>
            <w:shd w:val="clear" w:color="auto" w:fill="E2F4FD"/>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eastAsia="zh-CN"/>
              </w:rPr>
              <w:t>东海原甲</w:t>
            </w:r>
            <w:r>
              <w:rPr>
                <w:rFonts w:hint="eastAsia"/>
                <w:color w:val="000000"/>
                <w:szCs w:val="21"/>
              </w:rPr>
              <w:t>藻</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9" w:type="dxa"/>
            <w:tcBorders>
              <w:bottom w:val="single" w:color="FFFFFF" w:sz="6" w:space="0"/>
            </w:tcBorders>
            <w:shd w:val="clear" w:color="auto" w:fill="B9E6FB"/>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val="en-US" w:eastAsia="zh-CN"/>
              </w:rPr>
              <w:t>5</w:t>
            </w:r>
            <w:r>
              <w:rPr>
                <w:rFonts w:hint="eastAsia"/>
                <w:color w:val="000000"/>
                <w:szCs w:val="21"/>
              </w:rPr>
              <w:t>月</w:t>
            </w:r>
            <w:r>
              <w:rPr>
                <w:rFonts w:hint="eastAsia"/>
                <w:color w:val="000000"/>
                <w:szCs w:val="21"/>
                <w:lang w:val="en-US" w:eastAsia="zh-CN"/>
              </w:rPr>
              <w:t>10</w:t>
            </w:r>
            <w:r>
              <w:rPr>
                <w:rFonts w:hint="eastAsia"/>
                <w:color w:val="000000"/>
                <w:szCs w:val="21"/>
              </w:rPr>
              <w:t>日-</w:t>
            </w:r>
            <w:r>
              <w:rPr>
                <w:rFonts w:hint="eastAsia"/>
                <w:color w:val="000000"/>
                <w:szCs w:val="21"/>
                <w:lang w:val="en-US" w:eastAsia="zh-CN"/>
              </w:rPr>
              <w:t>5</w:t>
            </w:r>
            <w:r>
              <w:rPr>
                <w:rFonts w:hint="eastAsia"/>
                <w:color w:val="000000"/>
                <w:szCs w:val="21"/>
              </w:rPr>
              <w:t>月</w:t>
            </w:r>
            <w:r>
              <w:rPr>
                <w:rFonts w:hint="eastAsia"/>
                <w:color w:val="000000"/>
                <w:szCs w:val="21"/>
                <w:lang w:val="en-US" w:eastAsia="zh-CN"/>
              </w:rPr>
              <w:t>24</w:t>
            </w:r>
            <w:r>
              <w:rPr>
                <w:rFonts w:hint="eastAsia"/>
                <w:color w:val="000000"/>
                <w:szCs w:val="21"/>
              </w:rPr>
              <w:t>日</w:t>
            </w:r>
          </w:p>
        </w:tc>
        <w:tc>
          <w:tcPr>
            <w:tcW w:w="3959" w:type="dxa"/>
            <w:tcBorders>
              <w:bottom w:val="single" w:color="FFFFFF" w:sz="6" w:space="0"/>
              <w:right w:val="single" w:color="FFFFFF" w:sz="4" w:space="0"/>
            </w:tcBorders>
            <w:shd w:val="clear" w:color="auto" w:fill="B9E6FB"/>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eastAsia="zh-CN"/>
              </w:rPr>
              <w:t>台州玉环披山岛至温岭</w:t>
            </w:r>
            <w:r>
              <w:rPr>
                <w:color w:val="000000"/>
                <w:szCs w:val="21"/>
              </w:rPr>
              <w:t>海域</w:t>
            </w:r>
          </w:p>
        </w:tc>
        <w:tc>
          <w:tcPr>
            <w:tcW w:w="1275" w:type="dxa"/>
            <w:tcBorders>
              <w:left w:val="single" w:color="FFFFFF" w:sz="4" w:space="0"/>
              <w:bottom w:val="single" w:color="FFFFFF" w:sz="6" w:space="0"/>
            </w:tcBorders>
            <w:shd w:val="clear" w:color="auto" w:fill="B9E6FB"/>
            <w:noWrap w:val="0"/>
            <w:vAlign w:val="center"/>
          </w:tcPr>
          <w:p>
            <w:pPr>
              <w:adjustRightInd w:val="0"/>
              <w:snapToGrid w:val="0"/>
              <w:ind w:right="420" w:rightChars="200"/>
              <w:jc w:val="right"/>
              <w:rPr>
                <w:rFonts w:hint="default" w:eastAsia="宋体"/>
                <w:color w:val="000000"/>
                <w:kern w:val="2"/>
                <w:sz w:val="21"/>
                <w:szCs w:val="21"/>
                <w:lang w:val="en-US" w:eastAsia="zh-CN" w:bidi="ar-SA"/>
              </w:rPr>
            </w:pPr>
            <w:r>
              <w:rPr>
                <w:rFonts w:hint="eastAsia"/>
                <w:color w:val="000000"/>
                <w:szCs w:val="21"/>
                <w:lang w:val="en-US" w:eastAsia="zh-CN"/>
              </w:rPr>
              <w:t>200</w:t>
            </w:r>
          </w:p>
        </w:tc>
        <w:tc>
          <w:tcPr>
            <w:tcW w:w="1560"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eastAsia="zh-CN"/>
              </w:rPr>
              <w:t>东海原甲</w:t>
            </w:r>
            <w:r>
              <w:rPr>
                <w:rFonts w:hint="eastAsia"/>
                <w:color w:val="000000"/>
                <w:szCs w:val="21"/>
              </w:rPr>
              <w:t>藻</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9" w:type="dxa"/>
            <w:shd w:val="clear" w:color="auto" w:fill="E2F4FD"/>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val="en-US" w:eastAsia="zh-CN"/>
              </w:rPr>
              <w:t>7</w:t>
            </w:r>
            <w:r>
              <w:rPr>
                <w:rFonts w:hint="eastAsia"/>
                <w:color w:val="000000"/>
                <w:szCs w:val="21"/>
              </w:rPr>
              <w:t>月</w:t>
            </w:r>
            <w:r>
              <w:rPr>
                <w:rFonts w:hint="eastAsia"/>
                <w:color w:val="000000"/>
                <w:szCs w:val="21"/>
                <w:lang w:val="en-US" w:eastAsia="zh-CN"/>
              </w:rPr>
              <w:t>26</w:t>
            </w:r>
            <w:r>
              <w:rPr>
                <w:rFonts w:hint="eastAsia"/>
                <w:color w:val="000000"/>
                <w:szCs w:val="21"/>
              </w:rPr>
              <w:t>日-</w:t>
            </w:r>
            <w:r>
              <w:rPr>
                <w:rFonts w:hint="eastAsia"/>
                <w:color w:val="000000"/>
                <w:szCs w:val="21"/>
                <w:lang w:val="en-US" w:eastAsia="zh-CN"/>
              </w:rPr>
              <w:t>8</w:t>
            </w:r>
            <w:r>
              <w:rPr>
                <w:rFonts w:hint="eastAsia"/>
                <w:color w:val="000000"/>
                <w:szCs w:val="21"/>
              </w:rPr>
              <w:t>月</w:t>
            </w:r>
            <w:r>
              <w:rPr>
                <w:rFonts w:hint="eastAsia"/>
                <w:color w:val="000000"/>
                <w:szCs w:val="21"/>
                <w:lang w:val="en-US" w:eastAsia="zh-CN"/>
              </w:rPr>
              <w:t>5</w:t>
            </w:r>
            <w:r>
              <w:rPr>
                <w:rFonts w:hint="eastAsia"/>
                <w:color w:val="000000"/>
                <w:szCs w:val="21"/>
              </w:rPr>
              <w:t>日</w:t>
            </w:r>
          </w:p>
        </w:tc>
        <w:tc>
          <w:tcPr>
            <w:tcW w:w="3959" w:type="dxa"/>
            <w:tcBorders>
              <w:right w:val="single" w:color="FFFFFF" w:sz="4" w:space="0"/>
            </w:tcBorders>
            <w:shd w:val="clear" w:color="auto" w:fill="E2F4FD"/>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eastAsia="zh-CN"/>
              </w:rPr>
              <w:t>舟</w:t>
            </w:r>
            <w:r>
              <w:rPr>
                <w:rFonts w:hint="eastAsia" w:ascii="Times New Roman" w:hAnsi="Times New Roman" w:eastAsia="宋体" w:cs="Times New Roman"/>
                <w:color w:val="000000"/>
                <w:szCs w:val="21"/>
                <w:lang w:eastAsia="zh-CN"/>
              </w:rPr>
              <w:t>山普陀朱家尖、桃花岛</w:t>
            </w:r>
            <w:r>
              <w:rPr>
                <w:rFonts w:hint="default" w:ascii="Times New Roman" w:hAnsi="Times New Roman" w:eastAsia="宋体" w:cs="Times New Roman"/>
                <w:color w:val="000000"/>
                <w:szCs w:val="21"/>
                <w:lang w:eastAsia="zh-CN"/>
              </w:rPr>
              <w:t>和虾峙岛以东海域</w:t>
            </w:r>
          </w:p>
        </w:tc>
        <w:tc>
          <w:tcPr>
            <w:tcW w:w="1275" w:type="dxa"/>
            <w:tcBorders>
              <w:left w:val="single" w:color="FFFFFF" w:sz="4" w:space="0"/>
            </w:tcBorders>
            <w:shd w:val="clear" w:color="auto" w:fill="E2F4FD"/>
            <w:noWrap w:val="0"/>
            <w:vAlign w:val="center"/>
          </w:tcPr>
          <w:p>
            <w:pPr>
              <w:adjustRightInd w:val="0"/>
              <w:snapToGrid w:val="0"/>
              <w:ind w:right="420" w:rightChars="200"/>
              <w:jc w:val="right"/>
              <w:rPr>
                <w:rFonts w:hint="default" w:eastAsia="宋体"/>
                <w:color w:val="000000"/>
                <w:kern w:val="2"/>
                <w:sz w:val="21"/>
                <w:szCs w:val="21"/>
                <w:lang w:val="en-US" w:eastAsia="zh-CN" w:bidi="ar-SA"/>
              </w:rPr>
            </w:pPr>
            <w:r>
              <w:rPr>
                <w:rFonts w:hint="eastAsia"/>
                <w:color w:val="000000"/>
                <w:szCs w:val="21"/>
                <w:lang w:val="en-US" w:eastAsia="zh-CN"/>
              </w:rPr>
              <w:t>250</w:t>
            </w:r>
          </w:p>
        </w:tc>
        <w:tc>
          <w:tcPr>
            <w:tcW w:w="1560" w:type="dxa"/>
            <w:tcBorders>
              <w:right w:val="single" w:color="FFFFFF" w:sz="6" w:space="0"/>
            </w:tcBorders>
            <w:shd w:val="clear" w:color="auto" w:fill="E2F4FD"/>
            <w:noWrap w:val="0"/>
            <w:vAlign w:val="center"/>
          </w:tcPr>
          <w:p>
            <w:pPr>
              <w:adjustRightInd w:val="0"/>
              <w:snapToGrid w:val="0"/>
              <w:jc w:val="center"/>
              <w:rPr>
                <w:rFonts w:hint="eastAsia"/>
                <w:color w:val="000000"/>
                <w:kern w:val="2"/>
                <w:sz w:val="21"/>
                <w:szCs w:val="21"/>
                <w:lang w:val="en-US" w:eastAsia="zh-CN" w:bidi="ar-SA"/>
              </w:rPr>
            </w:pPr>
            <w:r>
              <w:rPr>
                <w:rFonts w:hint="default" w:ascii="Times New Roman" w:hAnsi="Times New Roman" w:eastAsia="宋体" w:cs="Times New Roman"/>
                <w:color w:val="000000"/>
                <w:szCs w:val="21"/>
                <w:lang w:val="en-US" w:eastAsia="zh-CN"/>
              </w:rPr>
              <w:t>大角管</w:t>
            </w:r>
            <w:r>
              <w:rPr>
                <w:rFonts w:hint="eastAsia" w:ascii="Times New Roman" w:hAnsi="Times New Roman" w:eastAsia="宋体" w:cs="Times New Roman"/>
                <w:color w:val="000000"/>
                <w:szCs w:val="21"/>
                <w:lang w:eastAsia="zh-CN"/>
              </w:rPr>
              <w:t>藻</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trPr>
        <w:tc>
          <w:tcPr>
            <w:tcW w:w="1879" w:type="dxa"/>
            <w:tcBorders>
              <w:bottom w:val="single" w:color="FFFFFF" w:sz="6" w:space="0"/>
            </w:tcBorders>
            <w:shd w:val="clear" w:color="auto" w:fill="B9E6FB"/>
            <w:noWrap w:val="0"/>
            <w:vAlign w:val="center"/>
          </w:tcPr>
          <w:p>
            <w:pPr>
              <w:adjustRightInd w:val="0"/>
              <w:snapToGrid w:val="0"/>
              <w:jc w:val="center"/>
              <w:rPr>
                <w:rFonts w:hint="eastAsia"/>
                <w:color w:val="000000"/>
                <w:kern w:val="2"/>
                <w:sz w:val="21"/>
                <w:szCs w:val="21"/>
                <w:lang w:val="en-US" w:eastAsia="zh-CN" w:bidi="ar-SA"/>
              </w:rPr>
            </w:pPr>
            <w:r>
              <w:rPr>
                <w:rFonts w:hint="eastAsia"/>
                <w:color w:val="000000"/>
                <w:szCs w:val="21"/>
                <w:lang w:val="en-US" w:eastAsia="zh-CN"/>
              </w:rPr>
              <w:t>7</w:t>
            </w:r>
            <w:r>
              <w:rPr>
                <w:rFonts w:hint="eastAsia"/>
                <w:color w:val="000000"/>
                <w:szCs w:val="21"/>
              </w:rPr>
              <w:t>月</w:t>
            </w:r>
            <w:r>
              <w:rPr>
                <w:rFonts w:hint="eastAsia"/>
                <w:color w:val="000000"/>
                <w:szCs w:val="21"/>
                <w:lang w:val="en-US" w:eastAsia="zh-CN"/>
              </w:rPr>
              <w:t>26</w:t>
            </w:r>
            <w:r>
              <w:rPr>
                <w:rFonts w:hint="eastAsia"/>
                <w:color w:val="000000"/>
                <w:szCs w:val="21"/>
              </w:rPr>
              <w:t>日-</w:t>
            </w:r>
            <w:r>
              <w:rPr>
                <w:rFonts w:hint="eastAsia"/>
                <w:color w:val="000000"/>
                <w:szCs w:val="21"/>
                <w:lang w:val="en-US" w:eastAsia="zh-CN"/>
              </w:rPr>
              <w:t>8</w:t>
            </w:r>
            <w:r>
              <w:rPr>
                <w:rFonts w:hint="eastAsia"/>
                <w:color w:val="000000"/>
                <w:szCs w:val="21"/>
              </w:rPr>
              <w:t>月</w:t>
            </w:r>
            <w:r>
              <w:rPr>
                <w:rFonts w:hint="eastAsia"/>
                <w:color w:val="000000"/>
                <w:szCs w:val="21"/>
                <w:lang w:val="en-US" w:eastAsia="zh-CN"/>
              </w:rPr>
              <w:t>4</w:t>
            </w:r>
            <w:r>
              <w:rPr>
                <w:rFonts w:hint="eastAsia"/>
                <w:color w:val="000000"/>
                <w:szCs w:val="21"/>
              </w:rPr>
              <w:t>日</w:t>
            </w:r>
          </w:p>
        </w:tc>
        <w:tc>
          <w:tcPr>
            <w:tcW w:w="3959" w:type="dxa"/>
            <w:tcBorders>
              <w:bottom w:val="single" w:color="FFFFFF" w:sz="6" w:space="0"/>
              <w:right w:val="single" w:color="FFFFFF" w:sz="4" w:space="0"/>
            </w:tcBorders>
            <w:shd w:val="clear" w:color="auto" w:fill="B9E6FB"/>
            <w:noWrap w:val="0"/>
            <w:vAlign w:val="center"/>
          </w:tcPr>
          <w:p>
            <w:pPr>
              <w:adjustRightInd w:val="0"/>
              <w:snapToGrid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eastAsia="zh-CN"/>
              </w:rPr>
              <w:t>舟山岱山</w:t>
            </w:r>
            <w:r>
              <w:rPr>
                <w:rFonts w:hint="default" w:ascii="Times New Roman" w:hAnsi="Times New Roman" w:eastAsia="宋体" w:cs="Times New Roman"/>
                <w:color w:val="000000"/>
                <w:szCs w:val="21"/>
                <w:lang w:eastAsia="zh-CN"/>
              </w:rPr>
              <w:t>大长</w:t>
            </w:r>
            <w:r>
              <w:rPr>
                <w:rFonts w:hint="eastAsia" w:ascii="Times New Roman" w:hAnsi="Times New Roman" w:eastAsia="宋体" w:cs="Times New Roman"/>
                <w:color w:val="000000"/>
                <w:szCs w:val="21"/>
                <w:lang w:eastAsia="zh-CN"/>
              </w:rPr>
              <w:t>涂</w:t>
            </w:r>
            <w:r>
              <w:rPr>
                <w:rFonts w:hint="default" w:ascii="Times New Roman" w:hAnsi="Times New Roman" w:eastAsia="宋体" w:cs="Times New Roman"/>
                <w:color w:val="000000"/>
                <w:szCs w:val="21"/>
                <w:lang w:eastAsia="zh-CN"/>
              </w:rPr>
              <w:t>岛、大西寨岛以南海域</w:t>
            </w:r>
          </w:p>
        </w:tc>
        <w:tc>
          <w:tcPr>
            <w:tcW w:w="1275" w:type="dxa"/>
            <w:tcBorders>
              <w:left w:val="single" w:color="FFFFFF" w:sz="4" w:space="0"/>
              <w:bottom w:val="single" w:color="FFFFFF" w:sz="6" w:space="0"/>
            </w:tcBorders>
            <w:shd w:val="clear" w:color="auto" w:fill="B9E6FB"/>
            <w:noWrap w:val="0"/>
            <w:vAlign w:val="center"/>
          </w:tcPr>
          <w:p>
            <w:pPr>
              <w:adjustRightInd w:val="0"/>
              <w:snapToGrid w:val="0"/>
              <w:ind w:right="420" w:rightChars="200"/>
              <w:jc w:val="right"/>
              <w:rPr>
                <w:rFonts w:hint="default" w:eastAsia="宋体"/>
                <w:color w:val="000000"/>
                <w:kern w:val="2"/>
                <w:sz w:val="21"/>
                <w:szCs w:val="21"/>
                <w:lang w:val="en-US" w:eastAsia="zh-CN" w:bidi="ar-SA"/>
              </w:rPr>
            </w:pPr>
            <w:r>
              <w:rPr>
                <w:rFonts w:hint="eastAsia"/>
                <w:color w:val="000000"/>
                <w:szCs w:val="21"/>
                <w:lang w:val="en-US" w:eastAsia="zh-CN"/>
              </w:rPr>
              <w:t>100</w:t>
            </w:r>
          </w:p>
        </w:tc>
        <w:tc>
          <w:tcPr>
            <w:tcW w:w="1560"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color w:val="000000"/>
                <w:kern w:val="2"/>
                <w:sz w:val="21"/>
                <w:szCs w:val="21"/>
                <w:lang w:val="en-US" w:eastAsia="zh-CN" w:bidi="ar-SA"/>
              </w:rPr>
            </w:pPr>
            <w:r>
              <w:rPr>
                <w:rFonts w:hint="default" w:ascii="Times New Roman" w:hAnsi="Times New Roman" w:eastAsia="宋体" w:cs="Times New Roman"/>
                <w:color w:val="000000"/>
                <w:szCs w:val="21"/>
                <w:lang w:val="en-US" w:eastAsia="zh-CN"/>
              </w:rPr>
              <w:t>脆指</w:t>
            </w:r>
            <w:bookmarkStart w:id="34" w:name="_GoBack"/>
            <w:bookmarkEnd w:id="34"/>
            <w:r>
              <w:rPr>
                <w:rFonts w:hint="default" w:ascii="Times New Roman" w:hAnsi="Times New Roman" w:eastAsia="宋体" w:cs="Times New Roman"/>
                <w:color w:val="000000"/>
                <w:szCs w:val="21"/>
                <w:lang w:val="en-US" w:eastAsia="zh-CN"/>
              </w:rPr>
              <w:t>管</w:t>
            </w:r>
            <w:r>
              <w:rPr>
                <w:rFonts w:hint="eastAsia" w:ascii="Times New Roman" w:hAnsi="Times New Roman" w:eastAsia="宋体" w:cs="Times New Roman"/>
                <w:color w:val="000000"/>
                <w:szCs w:val="21"/>
                <w:lang w:val="en-US" w:eastAsia="zh-CN"/>
              </w:rPr>
              <w:t>藻</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trPr>
        <w:tc>
          <w:tcPr>
            <w:tcW w:w="1879" w:type="dxa"/>
            <w:shd w:val="clear" w:color="auto" w:fill="E2F4FD"/>
            <w:noWrap w:val="0"/>
            <w:vAlign w:val="center"/>
          </w:tcPr>
          <w:p>
            <w:pPr>
              <w:adjustRightInd w:val="0"/>
              <w:snapToGrid w:val="0"/>
              <w:jc w:val="center"/>
              <w:rPr>
                <w:rFonts w:hint="eastAsia"/>
                <w:color w:val="000000"/>
                <w:szCs w:val="21"/>
              </w:rPr>
            </w:pPr>
            <w:r>
              <w:rPr>
                <w:rFonts w:hint="eastAsia"/>
                <w:color w:val="000000"/>
                <w:szCs w:val="21"/>
              </w:rPr>
              <w:t>8月30日-9月2日</w:t>
            </w:r>
          </w:p>
        </w:tc>
        <w:tc>
          <w:tcPr>
            <w:tcW w:w="3959" w:type="dxa"/>
            <w:tcBorders>
              <w:right w:val="single" w:color="FFFFFF" w:sz="4" w:space="0"/>
            </w:tcBorders>
            <w:shd w:val="clear" w:color="auto" w:fill="E2F4FD"/>
            <w:noWrap w:val="0"/>
            <w:vAlign w:val="center"/>
          </w:tcPr>
          <w:p>
            <w:pPr>
              <w:adjustRightInd w:val="0"/>
              <w:snapToGrid w:val="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台州温岭石塘东南侧海域</w:t>
            </w:r>
          </w:p>
        </w:tc>
        <w:tc>
          <w:tcPr>
            <w:tcW w:w="1275" w:type="dxa"/>
            <w:tcBorders>
              <w:left w:val="single" w:color="FFFFFF" w:sz="4" w:space="0"/>
            </w:tcBorders>
            <w:shd w:val="clear" w:color="auto" w:fill="E2F4FD"/>
            <w:noWrap w:val="0"/>
            <w:vAlign w:val="center"/>
          </w:tcPr>
          <w:p>
            <w:pPr>
              <w:adjustRightInd w:val="0"/>
              <w:snapToGrid w:val="0"/>
              <w:ind w:right="420" w:rightChars="200"/>
              <w:jc w:val="right"/>
              <w:rPr>
                <w:color w:val="000000"/>
                <w:szCs w:val="21"/>
              </w:rPr>
            </w:pPr>
            <w:r>
              <w:rPr>
                <w:rFonts w:hint="eastAsia"/>
                <w:color w:val="000000"/>
                <w:szCs w:val="21"/>
              </w:rPr>
              <w:t>20</w:t>
            </w:r>
          </w:p>
        </w:tc>
        <w:tc>
          <w:tcPr>
            <w:tcW w:w="1560" w:type="dxa"/>
            <w:tcBorders>
              <w:right w:val="single" w:color="FFFFFF" w:sz="6" w:space="0"/>
            </w:tcBorders>
            <w:shd w:val="clear" w:color="auto" w:fill="E2F4FD"/>
            <w:noWrap w:val="0"/>
            <w:vAlign w:val="center"/>
          </w:tcPr>
          <w:p>
            <w:pPr>
              <w:adjustRightInd w:val="0"/>
              <w:snapToGrid w:val="0"/>
              <w:jc w:val="center"/>
              <w:rPr>
                <w:rFonts w:hint="eastAsia"/>
                <w:color w:val="000000"/>
                <w:szCs w:val="21"/>
              </w:rPr>
            </w:pPr>
            <w:r>
              <w:rPr>
                <w:color w:val="000000"/>
                <w:szCs w:val="21"/>
              </w:rPr>
              <w:t>多环马格里夫藻</w:t>
            </w:r>
            <w:r>
              <w:rPr>
                <w:rFonts w:hint="eastAsia"/>
                <w:color w:val="000000"/>
                <w:szCs w:val="21"/>
              </w:rPr>
              <w:t>（有害）</w:t>
            </w:r>
          </w:p>
        </w:tc>
      </w:tr>
    </w:tbl>
    <w:p>
      <w:pPr>
        <w:keepNext w:val="0"/>
        <w:keepLines w:val="0"/>
        <w:pageBreakBefore w:val="0"/>
        <w:widowControl w:val="0"/>
        <w:kinsoku/>
        <w:wordWrap/>
        <w:overflowPunct/>
        <w:topLinePunct w:val="0"/>
        <w:autoSpaceDE/>
        <w:autoSpaceDN/>
        <w:bidi w:val="0"/>
        <w:adjustRightInd w:val="0"/>
        <w:snapToGrid w:val="0"/>
        <w:spacing w:after="157" w:afterLines="50"/>
        <w:textAlignment w:val="auto"/>
        <w:rPr>
          <w:rFonts w:ascii="宋体" w:hAnsi="宋体"/>
          <w:szCs w:val="18"/>
        </w:rPr>
      </w:pPr>
      <w:r>
        <w:rPr>
          <w:rFonts w:hint="eastAsia" w:ascii="宋体" w:hAnsi="宋体"/>
          <w:szCs w:val="18"/>
        </w:rPr>
        <w:t>注：本表仅列出最大面积超过</w:t>
      </w:r>
      <w:r>
        <w:rPr>
          <w:rFonts w:hint="eastAsia" w:ascii="宋体" w:hAnsi="宋体"/>
          <w:szCs w:val="18"/>
          <w:lang w:val="en-US" w:eastAsia="zh-CN"/>
        </w:rPr>
        <w:t>1</w:t>
      </w:r>
      <w:r>
        <w:rPr>
          <w:rFonts w:hint="eastAsia" w:ascii="宋体" w:hAnsi="宋体"/>
          <w:szCs w:val="18"/>
        </w:rPr>
        <w:t>00平方千米（含）或有害的赤潮过程。</w:t>
      </w:r>
    </w:p>
    <w:p>
      <w:pPr>
        <w:ind w:firstLine="600" w:firstLineChars="200"/>
        <w:jc w:val="left"/>
        <w:rPr>
          <w:rFonts w:hint="eastAsia"/>
          <w:sz w:val="30"/>
          <w:szCs w:val="30"/>
        </w:rPr>
      </w:pPr>
      <w:r>
        <w:rPr>
          <w:rFonts w:hint="eastAsia"/>
          <w:sz w:val="30"/>
          <w:szCs w:val="30"/>
        </w:rPr>
        <w:t>2022年，舟山海域、宁波海域、台州海域、温州海域赤潮发现次数分别为3次、3次、3次和8次。其中温州海域发现赤潮累计面积最大，达到763平方千米，占总</w:t>
      </w:r>
      <w:r>
        <w:rPr>
          <w:rFonts w:hint="eastAsia"/>
          <w:sz w:val="30"/>
          <w:szCs w:val="30"/>
          <w:lang w:eastAsia="zh-CN"/>
        </w:rPr>
        <w:t>面积</w:t>
      </w:r>
      <w:r>
        <w:rPr>
          <w:rFonts w:hint="eastAsia"/>
          <w:sz w:val="30"/>
          <w:szCs w:val="30"/>
        </w:rPr>
        <w:t>的49%；宁波海域发现赤潮累计面积最小，为89平方千米，占总</w:t>
      </w:r>
      <w:r>
        <w:rPr>
          <w:rFonts w:hint="eastAsia"/>
          <w:sz w:val="30"/>
          <w:szCs w:val="30"/>
          <w:lang w:eastAsia="zh-CN"/>
        </w:rPr>
        <w:t>面积</w:t>
      </w:r>
      <w:r>
        <w:rPr>
          <w:rFonts w:hint="eastAsia"/>
          <w:sz w:val="30"/>
          <w:szCs w:val="30"/>
        </w:rPr>
        <w:t>的6%（见表</w:t>
      </w:r>
      <w:r>
        <w:rPr>
          <w:rFonts w:hint="eastAsia"/>
          <w:sz w:val="30"/>
          <w:szCs w:val="30"/>
          <w:lang w:val="en-US" w:eastAsia="zh-CN"/>
        </w:rPr>
        <w:t>6</w:t>
      </w:r>
      <w:r>
        <w:rPr>
          <w:rFonts w:hint="eastAsia"/>
          <w:sz w:val="30"/>
          <w:szCs w:val="30"/>
        </w:rPr>
        <w:t>）。</w:t>
      </w:r>
    </w:p>
    <w:p>
      <w:pPr>
        <w:spacing w:before="156" w:beforeLines="50"/>
        <w:jc w:val="center"/>
        <w:rPr>
          <w:sz w:val="24"/>
        </w:rPr>
      </w:pPr>
      <w:r>
        <w:rPr>
          <w:sz w:val="24"/>
        </w:rPr>
        <w:t>表</w:t>
      </w:r>
      <w:r>
        <w:rPr>
          <w:rFonts w:hint="eastAsia"/>
          <w:sz w:val="24"/>
          <w:lang w:val="en-US" w:eastAsia="zh-CN"/>
        </w:rPr>
        <w:t>6</w:t>
      </w:r>
      <w:r>
        <w:rPr>
          <w:sz w:val="24"/>
        </w:rPr>
        <w:t xml:space="preserve">  20</w:t>
      </w:r>
      <w:r>
        <w:rPr>
          <w:rFonts w:hint="eastAsia"/>
          <w:sz w:val="24"/>
        </w:rPr>
        <w:t>22</w:t>
      </w:r>
      <w:r>
        <w:rPr>
          <w:sz w:val="24"/>
        </w:rPr>
        <w:t>年浙江海域</w:t>
      </w:r>
      <w:r>
        <w:rPr>
          <w:rFonts w:hint="eastAsia"/>
          <w:sz w:val="24"/>
        </w:rPr>
        <w:t>赤潮发现情况</w:t>
      </w:r>
      <w:r>
        <w:rPr>
          <w:sz w:val="24"/>
        </w:rPr>
        <w:t>分布</w:t>
      </w:r>
    </w:p>
    <w:tbl>
      <w:tblPr>
        <w:tblStyle w:val="20"/>
        <w:tblW w:w="0" w:type="auto"/>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2571"/>
        <w:gridCol w:w="2835"/>
        <w:gridCol w:w="3135"/>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2571" w:type="dxa"/>
            <w:shd w:val="clear" w:color="auto" w:fill="0F76BB"/>
            <w:noWrap w:val="0"/>
            <w:vAlign w:val="center"/>
          </w:tcPr>
          <w:p>
            <w:pPr>
              <w:widowControl/>
              <w:snapToGrid w:val="0"/>
              <w:jc w:val="center"/>
              <w:rPr>
                <w:b/>
                <w:bCs/>
                <w:color w:val="FFFFFF"/>
                <w:kern w:val="0"/>
                <w:szCs w:val="21"/>
              </w:rPr>
            </w:pPr>
            <w:r>
              <w:rPr>
                <w:rFonts w:hint="eastAsia"/>
                <w:b/>
                <w:bCs/>
                <w:color w:val="FFFFFF"/>
                <w:szCs w:val="21"/>
              </w:rPr>
              <w:t>海域</w:t>
            </w:r>
          </w:p>
        </w:tc>
        <w:tc>
          <w:tcPr>
            <w:tcW w:w="2835" w:type="dxa"/>
            <w:shd w:val="clear" w:color="auto" w:fill="0F76BB"/>
            <w:noWrap w:val="0"/>
            <w:vAlign w:val="center"/>
          </w:tcPr>
          <w:p>
            <w:pPr>
              <w:widowControl/>
              <w:snapToGrid w:val="0"/>
              <w:jc w:val="center"/>
              <w:rPr>
                <w:b/>
                <w:bCs/>
                <w:color w:val="FFFFFF"/>
                <w:kern w:val="0"/>
                <w:szCs w:val="21"/>
              </w:rPr>
            </w:pPr>
            <w:r>
              <w:rPr>
                <w:rFonts w:hint="eastAsia"/>
                <w:b/>
                <w:bCs/>
                <w:color w:val="FFFFFF"/>
                <w:kern w:val="0"/>
                <w:szCs w:val="21"/>
              </w:rPr>
              <w:t>赤潮发现次数（次）</w:t>
            </w:r>
          </w:p>
        </w:tc>
        <w:tc>
          <w:tcPr>
            <w:tcW w:w="3135" w:type="dxa"/>
            <w:tcBorders>
              <w:right w:val="single" w:color="FFFFFF" w:sz="6" w:space="0"/>
            </w:tcBorders>
            <w:shd w:val="clear" w:color="auto" w:fill="0F76BB"/>
            <w:noWrap w:val="0"/>
            <w:vAlign w:val="center"/>
          </w:tcPr>
          <w:p>
            <w:pPr>
              <w:widowControl/>
              <w:snapToGrid w:val="0"/>
              <w:jc w:val="center"/>
              <w:rPr>
                <w:b/>
                <w:bCs/>
                <w:color w:val="FFFFFF"/>
                <w:kern w:val="0"/>
                <w:szCs w:val="21"/>
              </w:rPr>
            </w:pPr>
            <w:r>
              <w:rPr>
                <w:rFonts w:hint="eastAsia"/>
                <w:b/>
                <w:bCs/>
                <w:color w:val="FFFFFF"/>
                <w:kern w:val="0"/>
                <w:szCs w:val="21"/>
              </w:rPr>
              <w:t>赤潮累计面积（平方千米）</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2571" w:type="dxa"/>
            <w:tcBorders>
              <w:bottom w:val="single" w:color="FFFFFF" w:sz="6" w:space="0"/>
            </w:tcBorders>
            <w:shd w:val="clear" w:color="auto" w:fill="B9E6FB"/>
            <w:noWrap w:val="0"/>
            <w:vAlign w:val="center"/>
          </w:tcPr>
          <w:p>
            <w:pPr>
              <w:adjustRightInd w:val="0"/>
              <w:snapToGrid w:val="0"/>
              <w:jc w:val="center"/>
              <w:rPr>
                <w:color w:val="000000"/>
                <w:szCs w:val="21"/>
              </w:rPr>
            </w:pPr>
            <w:r>
              <w:rPr>
                <w:rFonts w:hint="eastAsia"/>
                <w:color w:val="000000"/>
                <w:szCs w:val="21"/>
              </w:rPr>
              <w:t>舟山海域</w:t>
            </w:r>
          </w:p>
        </w:tc>
        <w:tc>
          <w:tcPr>
            <w:tcW w:w="2835"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3</w:t>
            </w:r>
          </w:p>
        </w:tc>
        <w:tc>
          <w:tcPr>
            <w:tcW w:w="3135" w:type="dxa"/>
            <w:tcBorders>
              <w:bottom w:val="single" w:color="FFFFFF" w:sz="6" w:space="0"/>
              <w:right w:val="single" w:color="FFFFFF" w:sz="6" w:space="0"/>
            </w:tcBorders>
            <w:shd w:val="clear" w:color="auto" w:fill="B9E6FB"/>
            <w:noWrap w:val="0"/>
            <w:vAlign w:val="center"/>
          </w:tcPr>
          <w:p>
            <w:pPr>
              <w:adjustRightInd w:val="0"/>
              <w:snapToGrid w:val="0"/>
              <w:ind w:right="1260" w:rightChars="600"/>
              <w:jc w:val="right"/>
              <w:rPr>
                <w:color w:val="000000"/>
                <w:szCs w:val="21"/>
              </w:rPr>
            </w:pPr>
            <w:r>
              <w:rPr>
                <w:rFonts w:hint="eastAsia"/>
                <w:color w:val="000000"/>
                <w:szCs w:val="21"/>
              </w:rPr>
              <w:t>360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2571" w:type="dxa"/>
            <w:tcBorders>
              <w:bottom w:val="single" w:color="FFFFFF" w:sz="6" w:space="0"/>
            </w:tcBorders>
            <w:shd w:val="clear" w:color="auto" w:fill="E2F4FD"/>
            <w:noWrap w:val="0"/>
            <w:vAlign w:val="center"/>
          </w:tcPr>
          <w:p>
            <w:pPr>
              <w:adjustRightInd w:val="0"/>
              <w:snapToGrid w:val="0"/>
              <w:jc w:val="center"/>
              <w:rPr>
                <w:color w:val="000000"/>
                <w:szCs w:val="21"/>
              </w:rPr>
            </w:pPr>
            <w:r>
              <w:rPr>
                <w:rFonts w:hint="eastAsia"/>
                <w:color w:val="000000"/>
                <w:szCs w:val="21"/>
              </w:rPr>
              <w:t>宁波海域</w:t>
            </w:r>
          </w:p>
        </w:tc>
        <w:tc>
          <w:tcPr>
            <w:tcW w:w="2835" w:type="dxa"/>
            <w:tcBorders>
              <w:bottom w:val="single" w:color="FFFFFF" w:sz="6" w:space="0"/>
            </w:tcBorders>
            <w:shd w:val="clear" w:color="auto" w:fill="E2F4FD"/>
            <w:noWrap w:val="0"/>
            <w:vAlign w:val="center"/>
          </w:tcPr>
          <w:p>
            <w:pPr>
              <w:adjustRightInd w:val="0"/>
              <w:snapToGrid w:val="0"/>
              <w:jc w:val="center"/>
              <w:rPr>
                <w:rFonts w:hint="eastAsia"/>
                <w:color w:val="000000"/>
                <w:szCs w:val="21"/>
              </w:rPr>
            </w:pPr>
            <w:r>
              <w:rPr>
                <w:rFonts w:hint="eastAsia"/>
                <w:color w:val="000000"/>
                <w:szCs w:val="21"/>
              </w:rPr>
              <w:t>3</w:t>
            </w:r>
          </w:p>
        </w:tc>
        <w:tc>
          <w:tcPr>
            <w:tcW w:w="3135" w:type="dxa"/>
            <w:tcBorders>
              <w:bottom w:val="single" w:color="FFFFFF" w:sz="6" w:space="0"/>
              <w:right w:val="single" w:color="FFFFFF" w:sz="6" w:space="0"/>
            </w:tcBorders>
            <w:shd w:val="clear" w:color="auto" w:fill="E2F4FD"/>
            <w:noWrap w:val="0"/>
            <w:vAlign w:val="center"/>
          </w:tcPr>
          <w:p>
            <w:pPr>
              <w:adjustRightInd w:val="0"/>
              <w:snapToGrid w:val="0"/>
              <w:ind w:right="1260" w:rightChars="600"/>
              <w:jc w:val="right"/>
              <w:rPr>
                <w:color w:val="000000"/>
                <w:szCs w:val="21"/>
              </w:rPr>
            </w:pPr>
            <w:r>
              <w:rPr>
                <w:rFonts w:hint="eastAsia"/>
                <w:color w:val="000000"/>
                <w:szCs w:val="21"/>
              </w:rPr>
              <w:t>89</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2571" w:type="dxa"/>
            <w:tcBorders>
              <w:bottom w:val="single" w:color="FFFFFF" w:sz="6" w:space="0"/>
            </w:tcBorders>
            <w:shd w:val="clear" w:color="auto" w:fill="B9E6FB"/>
            <w:noWrap w:val="0"/>
            <w:vAlign w:val="center"/>
          </w:tcPr>
          <w:p>
            <w:pPr>
              <w:adjustRightInd w:val="0"/>
              <w:snapToGrid w:val="0"/>
              <w:jc w:val="center"/>
              <w:rPr>
                <w:color w:val="000000"/>
                <w:szCs w:val="21"/>
              </w:rPr>
            </w:pPr>
            <w:r>
              <w:rPr>
                <w:rFonts w:hint="eastAsia"/>
                <w:color w:val="000000"/>
                <w:szCs w:val="21"/>
              </w:rPr>
              <w:t>台州海域</w:t>
            </w:r>
          </w:p>
        </w:tc>
        <w:tc>
          <w:tcPr>
            <w:tcW w:w="2835" w:type="dxa"/>
            <w:tcBorders>
              <w:bottom w:val="single" w:color="FFFFFF" w:sz="6" w:space="0"/>
            </w:tcBorders>
            <w:shd w:val="clear" w:color="auto" w:fill="B9E6FB"/>
            <w:noWrap w:val="0"/>
            <w:vAlign w:val="center"/>
          </w:tcPr>
          <w:p>
            <w:pPr>
              <w:adjustRightInd w:val="0"/>
              <w:snapToGrid w:val="0"/>
              <w:jc w:val="center"/>
              <w:rPr>
                <w:rFonts w:hint="eastAsia"/>
                <w:color w:val="000000"/>
                <w:szCs w:val="21"/>
              </w:rPr>
            </w:pPr>
            <w:r>
              <w:rPr>
                <w:rFonts w:hint="eastAsia"/>
                <w:color w:val="000000"/>
                <w:szCs w:val="21"/>
              </w:rPr>
              <w:t>3</w:t>
            </w:r>
          </w:p>
        </w:tc>
        <w:tc>
          <w:tcPr>
            <w:tcW w:w="3135" w:type="dxa"/>
            <w:tcBorders>
              <w:bottom w:val="single" w:color="FFFFFF" w:sz="6" w:space="0"/>
              <w:right w:val="single" w:color="FFFFFF" w:sz="6" w:space="0"/>
            </w:tcBorders>
            <w:shd w:val="clear" w:color="auto" w:fill="B9E6FB"/>
            <w:noWrap w:val="0"/>
            <w:vAlign w:val="center"/>
          </w:tcPr>
          <w:p>
            <w:pPr>
              <w:adjustRightInd w:val="0"/>
              <w:snapToGrid w:val="0"/>
              <w:ind w:right="1260" w:rightChars="600"/>
              <w:jc w:val="right"/>
              <w:rPr>
                <w:color w:val="000000"/>
                <w:szCs w:val="21"/>
              </w:rPr>
            </w:pPr>
            <w:r>
              <w:rPr>
                <w:rFonts w:hint="eastAsia"/>
                <w:color w:val="000000"/>
                <w:szCs w:val="21"/>
              </w:rPr>
              <w:t>340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2571" w:type="dxa"/>
            <w:tcBorders>
              <w:bottom w:val="single" w:color="FFFFFF" w:sz="6" w:space="0"/>
            </w:tcBorders>
            <w:shd w:val="clear" w:color="auto" w:fill="E2F4FD"/>
            <w:noWrap w:val="0"/>
            <w:vAlign w:val="center"/>
          </w:tcPr>
          <w:p>
            <w:pPr>
              <w:adjustRightInd w:val="0"/>
              <w:snapToGrid w:val="0"/>
              <w:jc w:val="center"/>
              <w:rPr>
                <w:rFonts w:hint="eastAsia"/>
                <w:color w:val="000000"/>
                <w:szCs w:val="21"/>
              </w:rPr>
            </w:pPr>
            <w:r>
              <w:rPr>
                <w:rFonts w:hint="eastAsia"/>
                <w:color w:val="000000"/>
                <w:szCs w:val="21"/>
              </w:rPr>
              <w:t>温州海域</w:t>
            </w:r>
          </w:p>
        </w:tc>
        <w:tc>
          <w:tcPr>
            <w:tcW w:w="2835" w:type="dxa"/>
            <w:tcBorders>
              <w:bottom w:val="single" w:color="FFFFFF" w:sz="6" w:space="0"/>
            </w:tcBorders>
            <w:shd w:val="clear" w:color="auto" w:fill="E2F4FD"/>
            <w:noWrap w:val="0"/>
            <w:vAlign w:val="center"/>
          </w:tcPr>
          <w:p>
            <w:pPr>
              <w:adjustRightInd w:val="0"/>
              <w:snapToGrid w:val="0"/>
              <w:jc w:val="center"/>
              <w:rPr>
                <w:rFonts w:hint="eastAsia"/>
                <w:color w:val="000000"/>
                <w:szCs w:val="21"/>
              </w:rPr>
            </w:pPr>
            <w:r>
              <w:rPr>
                <w:rFonts w:hint="eastAsia"/>
                <w:color w:val="000000"/>
                <w:szCs w:val="21"/>
              </w:rPr>
              <w:t>8</w:t>
            </w:r>
          </w:p>
        </w:tc>
        <w:tc>
          <w:tcPr>
            <w:tcW w:w="3135" w:type="dxa"/>
            <w:tcBorders>
              <w:bottom w:val="single" w:color="FFFFFF" w:sz="6" w:space="0"/>
              <w:right w:val="single" w:color="FFFFFF" w:sz="6" w:space="0"/>
            </w:tcBorders>
            <w:shd w:val="clear" w:color="auto" w:fill="E2F4FD"/>
            <w:noWrap w:val="0"/>
            <w:vAlign w:val="center"/>
          </w:tcPr>
          <w:p>
            <w:pPr>
              <w:adjustRightInd w:val="0"/>
              <w:snapToGrid w:val="0"/>
              <w:ind w:right="1260" w:rightChars="600"/>
              <w:jc w:val="right"/>
              <w:rPr>
                <w:color w:val="000000"/>
                <w:szCs w:val="21"/>
              </w:rPr>
            </w:pPr>
            <w:r>
              <w:rPr>
                <w:rFonts w:hint="eastAsia"/>
                <w:color w:val="000000"/>
                <w:szCs w:val="21"/>
              </w:rPr>
              <w:t>763</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2571" w:type="dxa"/>
            <w:shd w:val="clear" w:color="auto" w:fill="0F76BB"/>
            <w:noWrap w:val="0"/>
            <w:vAlign w:val="center"/>
          </w:tcPr>
          <w:p>
            <w:pPr>
              <w:adjustRightInd w:val="0"/>
              <w:snapToGrid w:val="0"/>
              <w:jc w:val="center"/>
              <w:rPr>
                <w:b/>
                <w:bCs/>
                <w:color w:val="FFFFFF"/>
                <w:kern w:val="0"/>
                <w:szCs w:val="21"/>
              </w:rPr>
            </w:pPr>
            <w:r>
              <w:rPr>
                <w:b/>
                <w:bCs/>
                <w:color w:val="FFFFFF"/>
                <w:szCs w:val="21"/>
              </w:rPr>
              <w:t>合计</w:t>
            </w:r>
          </w:p>
        </w:tc>
        <w:tc>
          <w:tcPr>
            <w:tcW w:w="2835" w:type="dxa"/>
            <w:shd w:val="clear" w:color="auto" w:fill="0F76BB"/>
            <w:noWrap w:val="0"/>
            <w:vAlign w:val="center"/>
          </w:tcPr>
          <w:p>
            <w:pPr>
              <w:adjustRightInd w:val="0"/>
              <w:snapToGrid w:val="0"/>
              <w:jc w:val="center"/>
              <w:rPr>
                <w:b/>
                <w:bCs/>
                <w:color w:val="FFFFFF"/>
                <w:kern w:val="0"/>
                <w:szCs w:val="21"/>
              </w:rPr>
            </w:pPr>
            <w:r>
              <w:rPr>
                <w:rFonts w:hint="eastAsia"/>
                <w:b/>
                <w:bCs/>
                <w:color w:val="FFFFFF"/>
                <w:szCs w:val="21"/>
              </w:rPr>
              <w:t>17</w:t>
            </w:r>
          </w:p>
        </w:tc>
        <w:tc>
          <w:tcPr>
            <w:tcW w:w="3135" w:type="dxa"/>
            <w:tcBorders>
              <w:right w:val="single" w:color="FFFFFF" w:sz="6" w:space="0"/>
            </w:tcBorders>
            <w:shd w:val="clear" w:color="auto" w:fill="0F76BB"/>
            <w:noWrap w:val="0"/>
            <w:vAlign w:val="center"/>
          </w:tcPr>
          <w:p>
            <w:pPr>
              <w:adjustRightInd w:val="0"/>
              <w:snapToGrid w:val="0"/>
              <w:ind w:right="1260" w:rightChars="600"/>
              <w:jc w:val="right"/>
              <w:rPr>
                <w:b/>
                <w:bCs/>
                <w:color w:val="FFFFFF"/>
                <w:kern w:val="0"/>
                <w:szCs w:val="21"/>
              </w:rPr>
            </w:pPr>
            <w:r>
              <w:rPr>
                <w:rFonts w:hint="eastAsia"/>
                <w:b/>
                <w:bCs/>
                <w:color w:val="FFFFFF"/>
                <w:szCs w:val="21"/>
              </w:rPr>
              <w:t>1 552</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600" w:firstLineChars="200"/>
        <w:textAlignment w:val="auto"/>
        <w:rPr>
          <w:rFonts w:hint="eastAsia"/>
          <w:sz w:val="30"/>
          <w:szCs w:val="30"/>
        </w:rPr>
      </w:pPr>
      <w:r>
        <w:rPr>
          <w:rFonts w:hint="eastAsia"/>
          <w:sz w:val="30"/>
          <w:szCs w:val="30"/>
        </w:rPr>
        <w:t>2022年，赤潮影响禁止类、限制类海洋生态保护红线区共12次，其中影响重要渔业海域6次，影响海洋特别保护区3次，影响海洋自然保护区2次，影响重要滨海旅游区1次。</w:t>
      </w:r>
    </w:p>
    <w:p>
      <w:pPr>
        <w:pStyle w:val="2"/>
        <w:spacing w:before="0" w:after="0" w:line="240" w:lineRule="auto"/>
        <w:rPr>
          <w:rFonts w:hint="eastAsia" w:ascii="黑体" w:hAnsi="黑体" w:eastAsia="黑体"/>
        </w:rPr>
      </w:pPr>
      <w:bookmarkStart w:id="15" w:name="_Toc809775528"/>
      <w:bookmarkStart w:id="16" w:name="_Toc504058285"/>
      <w:r>
        <w:rPr>
          <w:rFonts w:hint="eastAsia" w:ascii="黑体" w:hAnsi="黑体" w:eastAsia="黑体"/>
        </w:rPr>
        <w:t>五</w:t>
      </w:r>
      <w:r>
        <w:rPr>
          <w:rFonts w:ascii="黑体" w:hAnsi="黑体" w:eastAsia="黑体"/>
        </w:rPr>
        <w:t>、海平面变化</w:t>
      </w:r>
      <w:bookmarkEnd w:id="15"/>
      <w:bookmarkEnd w:id="16"/>
    </w:p>
    <w:p>
      <w:pPr>
        <w:spacing w:line="560" w:lineRule="exact"/>
        <w:ind w:firstLine="560" w:firstLineChars="200"/>
        <w:rPr>
          <w:sz w:val="28"/>
          <w:szCs w:val="28"/>
        </w:rPr>
      </w:pPr>
      <w:r>
        <w:rPr>
          <w:sz w:val="28"/>
          <w:szCs w:val="28"/>
        </w:rPr>
        <w:t>1980年至2022年，</w:t>
      </w:r>
      <w:r>
        <w:rPr>
          <w:rFonts w:hint="eastAsia"/>
          <w:sz w:val="28"/>
          <w:szCs w:val="28"/>
        </w:rPr>
        <w:t>我省</w:t>
      </w:r>
      <w:r>
        <w:rPr>
          <w:sz w:val="28"/>
          <w:szCs w:val="28"/>
        </w:rPr>
        <w:t>沿海海平面呈波动上升趋势（</w:t>
      </w:r>
      <w:r>
        <w:rPr>
          <w:rFonts w:hint="eastAsia"/>
          <w:sz w:val="28"/>
          <w:szCs w:val="28"/>
          <w:lang w:eastAsia="zh-CN"/>
        </w:rPr>
        <w:t>见</w:t>
      </w:r>
      <w:r>
        <w:rPr>
          <w:sz w:val="28"/>
          <w:szCs w:val="28"/>
        </w:rPr>
        <w:t>图</w:t>
      </w:r>
      <w:r>
        <w:rPr>
          <w:rFonts w:hint="eastAsia"/>
          <w:sz w:val="28"/>
          <w:szCs w:val="28"/>
          <w:lang w:val="en-US" w:eastAsia="zh-CN"/>
        </w:rPr>
        <w:t>9</w:t>
      </w:r>
      <w:r>
        <w:rPr>
          <w:sz w:val="28"/>
          <w:szCs w:val="28"/>
        </w:rPr>
        <w:t>），平均上升速率为3.6毫米/年，高于同期全国沿海平均海平面上升速率</w:t>
      </w:r>
      <w:r>
        <w:rPr>
          <w:rFonts w:hint="eastAsia"/>
          <w:sz w:val="28"/>
          <w:szCs w:val="28"/>
          <w:lang w:eastAsia="zh-CN"/>
        </w:rPr>
        <w:t>（</w:t>
      </w:r>
      <w:r>
        <w:rPr>
          <w:sz w:val="28"/>
          <w:szCs w:val="28"/>
        </w:rPr>
        <w:t>3.</w:t>
      </w:r>
      <w:r>
        <w:rPr>
          <w:rFonts w:hint="eastAsia"/>
          <w:sz w:val="28"/>
          <w:szCs w:val="28"/>
          <w:lang w:val="en-US" w:eastAsia="zh-CN"/>
        </w:rPr>
        <w:t>5</w:t>
      </w:r>
      <w:r>
        <w:rPr>
          <w:sz w:val="28"/>
          <w:szCs w:val="28"/>
        </w:rPr>
        <w:t>毫米/年</w:t>
      </w:r>
      <w:r>
        <w:rPr>
          <w:rFonts w:hint="eastAsia"/>
          <w:sz w:val="28"/>
          <w:szCs w:val="28"/>
          <w:lang w:eastAsia="zh-CN"/>
        </w:rPr>
        <w:t>）</w:t>
      </w:r>
      <w:r>
        <w:rPr>
          <w:sz w:val="28"/>
          <w:szCs w:val="28"/>
        </w:rPr>
        <w:t>。2022年浙江沿海海平面较常年高85毫米</w:t>
      </w:r>
      <w:r>
        <w:rPr>
          <w:rFonts w:hint="eastAsia"/>
          <w:sz w:val="28"/>
          <w:szCs w:val="28"/>
        </w:rPr>
        <w:t>，</w:t>
      </w:r>
      <w:r>
        <w:rPr>
          <w:sz w:val="28"/>
          <w:szCs w:val="28"/>
        </w:rPr>
        <w:t>处于1980年以来第</w:t>
      </w:r>
      <w:r>
        <w:rPr>
          <w:rFonts w:hint="eastAsia"/>
          <w:sz w:val="28"/>
          <w:szCs w:val="28"/>
        </w:rPr>
        <w:t>七</w:t>
      </w:r>
      <w:r>
        <w:rPr>
          <w:sz w:val="28"/>
          <w:szCs w:val="28"/>
        </w:rPr>
        <w:t>高位（</w:t>
      </w:r>
      <w:r>
        <w:rPr>
          <w:rFonts w:hint="eastAsia"/>
          <w:sz w:val="28"/>
          <w:szCs w:val="28"/>
          <w:lang w:eastAsia="zh-CN"/>
        </w:rPr>
        <w:t>见表</w:t>
      </w:r>
      <w:r>
        <w:rPr>
          <w:rFonts w:hint="eastAsia"/>
          <w:sz w:val="28"/>
          <w:szCs w:val="28"/>
          <w:lang w:val="en-US" w:eastAsia="zh-CN"/>
        </w:rPr>
        <w:t>7</w:t>
      </w:r>
      <w:r>
        <w:rPr>
          <w:sz w:val="28"/>
          <w:szCs w:val="28"/>
        </w:rPr>
        <w:t>）。</w:t>
      </w:r>
    </w:p>
    <w:p>
      <w:pPr>
        <w:jc w:val="center"/>
        <w:rPr>
          <w:rFonts w:eastAsia="仿宋_GB2312"/>
          <w:sz w:val="28"/>
          <w:szCs w:val="28"/>
        </w:rPr>
      </w:pPr>
      <w:r>
        <w:rPr>
          <w:rFonts w:eastAsia="仿宋_GB2312"/>
          <w:sz w:val="28"/>
          <w:szCs w:val="28"/>
        </w:rPr>
        <w:drawing>
          <wp:inline distT="0" distB="0" distL="114300" distR="114300">
            <wp:extent cx="4622165" cy="2303145"/>
            <wp:effectExtent l="0" t="0" r="6985" b="1905"/>
            <wp:docPr id="15" name="图片 1" descr="D:\2 中国海平面公报\2022年中国海平面公报\各省市公报\浙江\图6.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 descr="D:\2 中国海平面公报\2022年中国海平面公报\各省市公报\浙江\图6.1.jpg"/>
                    <pic:cNvPicPr>
                      <a:picLocks noChangeAspect="true"/>
                    </pic:cNvPicPr>
                  </pic:nvPicPr>
                  <pic:blipFill>
                    <a:blip r:embed="rId25"/>
                    <a:srcRect t="6744" b="8014"/>
                    <a:stretch>
                      <a:fillRect/>
                    </a:stretch>
                  </pic:blipFill>
                  <pic:spPr>
                    <a:xfrm>
                      <a:off x="0" y="0"/>
                      <a:ext cx="4622165" cy="2303145"/>
                    </a:xfrm>
                    <a:prstGeom prst="rect">
                      <a:avLst/>
                    </a:prstGeom>
                    <a:noFill/>
                    <a:ln>
                      <a:noFill/>
                    </a:ln>
                  </pic:spPr>
                </pic:pic>
              </a:graphicData>
            </a:graphic>
          </wp:inline>
        </w:drawing>
      </w:r>
    </w:p>
    <w:p>
      <w:pPr>
        <w:spacing w:line="360" w:lineRule="auto"/>
        <w:jc w:val="center"/>
        <w:rPr>
          <w:rFonts w:hint="eastAsia" w:hAnsi="宋体"/>
          <w:sz w:val="24"/>
        </w:rPr>
      </w:pPr>
      <w:r>
        <w:rPr>
          <w:rFonts w:hAnsi="宋体"/>
          <w:sz w:val="24"/>
        </w:rPr>
        <w:t>图</w:t>
      </w:r>
      <w:r>
        <w:rPr>
          <w:rFonts w:hint="eastAsia" w:hAnsi="宋体"/>
          <w:sz w:val="24"/>
          <w:lang w:val="en-US" w:eastAsia="zh-CN"/>
        </w:rPr>
        <w:t>9</w:t>
      </w:r>
      <w:r>
        <w:rPr>
          <w:rFonts w:hAnsi="宋体"/>
          <w:sz w:val="24"/>
        </w:rPr>
        <w:t xml:space="preserve">  1980-2022年浙江沿海海平面</w:t>
      </w:r>
      <w:r>
        <w:rPr>
          <w:rFonts w:hint="eastAsia" w:hAnsi="宋体"/>
          <w:sz w:val="24"/>
        </w:rPr>
        <w:t>变化</w:t>
      </w:r>
    </w:p>
    <w:p>
      <w:pPr>
        <w:spacing w:line="360" w:lineRule="auto"/>
        <w:jc w:val="center"/>
        <w:rPr>
          <w:rFonts w:hint="eastAsia" w:hAnsi="宋体"/>
          <w:sz w:val="24"/>
        </w:rPr>
      </w:pPr>
      <w:r>
        <w:rPr>
          <w:rFonts w:hint="eastAsia" w:hAnsi="宋体"/>
          <w:sz w:val="24"/>
        </w:rPr>
        <w:t>（资料来源：国家海洋信息中心）</w:t>
      </w:r>
    </w:p>
    <w:p>
      <w:pPr>
        <w:spacing w:before="156" w:beforeLines="50"/>
        <w:jc w:val="center"/>
        <w:rPr>
          <w:rFonts w:hint="eastAsia"/>
          <w:sz w:val="24"/>
          <w:lang w:eastAsia="zh-CN"/>
        </w:rPr>
      </w:pPr>
      <w:r>
        <w:rPr>
          <w:sz w:val="24"/>
        </w:rPr>
        <w:t>表</w:t>
      </w:r>
      <w:r>
        <w:rPr>
          <w:rFonts w:hint="eastAsia"/>
          <w:sz w:val="24"/>
          <w:lang w:val="en-US" w:eastAsia="zh-CN"/>
        </w:rPr>
        <w:t>7</w:t>
      </w:r>
      <w:r>
        <w:rPr>
          <w:sz w:val="24"/>
        </w:rPr>
        <w:t xml:space="preserve">  </w:t>
      </w:r>
      <w:r>
        <w:rPr>
          <w:rFonts w:hint="eastAsia"/>
          <w:sz w:val="24"/>
          <w:lang w:eastAsia="zh-CN"/>
        </w:rPr>
        <w:t>浙江沿海海平面高度排行表</w:t>
      </w:r>
    </w:p>
    <w:tbl>
      <w:tblPr>
        <w:tblStyle w:val="20"/>
        <w:tblW w:w="0" w:type="auto"/>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1552"/>
        <w:gridCol w:w="2986"/>
        <w:gridCol w:w="4003"/>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shd w:val="clear" w:color="auto" w:fill="0F76BB"/>
            <w:noWrap w:val="0"/>
            <w:vAlign w:val="center"/>
          </w:tcPr>
          <w:p>
            <w:pPr>
              <w:widowControl/>
              <w:snapToGrid w:val="0"/>
              <w:jc w:val="center"/>
              <w:rPr>
                <w:rFonts w:hint="eastAsia" w:eastAsia="宋体"/>
                <w:b/>
                <w:bCs/>
                <w:color w:val="FFFFFF"/>
                <w:kern w:val="0"/>
                <w:szCs w:val="21"/>
                <w:lang w:eastAsia="zh-CN"/>
              </w:rPr>
            </w:pPr>
            <w:r>
              <w:rPr>
                <w:rFonts w:hint="eastAsia"/>
                <w:b/>
                <w:bCs/>
                <w:color w:val="FFFFFF"/>
                <w:szCs w:val="21"/>
                <w:lang w:eastAsia="zh-CN"/>
              </w:rPr>
              <w:t>序号</w:t>
            </w:r>
          </w:p>
        </w:tc>
        <w:tc>
          <w:tcPr>
            <w:tcW w:w="2986" w:type="dxa"/>
            <w:shd w:val="clear" w:color="auto" w:fill="0F76BB"/>
            <w:noWrap w:val="0"/>
            <w:vAlign w:val="center"/>
          </w:tcPr>
          <w:p>
            <w:pPr>
              <w:widowControl/>
              <w:snapToGrid w:val="0"/>
              <w:jc w:val="center"/>
              <w:rPr>
                <w:rFonts w:hint="eastAsia" w:eastAsia="宋体"/>
                <w:b/>
                <w:bCs/>
                <w:color w:val="FFFFFF"/>
                <w:kern w:val="0"/>
                <w:szCs w:val="21"/>
                <w:lang w:eastAsia="zh-CN"/>
              </w:rPr>
            </w:pPr>
            <w:r>
              <w:rPr>
                <w:rFonts w:hint="eastAsia"/>
                <w:b/>
                <w:bCs/>
                <w:color w:val="FFFFFF"/>
                <w:kern w:val="0"/>
                <w:szCs w:val="21"/>
                <w:lang w:eastAsia="zh-CN"/>
              </w:rPr>
              <w:t>年份</w:t>
            </w:r>
          </w:p>
        </w:tc>
        <w:tc>
          <w:tcPr>
            <w:tcW w:w="4003" w:type="dxa"/>
            <w:tcBorders>
              <w:right w:val="single" w:color="FFFFFF" w:sz="6" w:space="0"/>
            </w:tcBorders>
            <w:shd w:val="clear" w:color="auto" w:fill="0F76BB"/>
            <w:noWrap w:val="0"/>
            <w:vAlign w:val="center"/>
          </w:tcPr>
          <w:p>
            <w:pPr>
              <w:widowControl/>
              <w:snapToGrid w:val="0"/>
              <w:jc w:val="center"/>
              <w:rPr>
                <w:rFonts w:hint="default" w:eastAsia="宋体"/>
                <w:b/>
                <w:bCs/>
                <w:color w:val="FFFFFF"/>
                <w:kern w:val="0"/>
                <w:szCs w:val="21"/>
                <w:lang w:val="en-US" w:eastAsia="zh-CN"/>
              </w:rPr>
            </w:pPr>
            <w:r>
              <w:rPr>
                <w:rFonts w:hint="eastAsia"/>
                <w:b/>
                <w:bCs/>
                <w:color w:val="FFFFFF"/>
                <w:kern w:val="0"/>
                <w:szCs w:val="21"/>
                <w:lang w:eastAsia="zh-CN"/>
              </w:rPr>
              <w:t>与常年平均海平面差值</w:t>
            </w:r>
            <w:r>
              <w:rPr>
                <w:rFonts w:hint="eastAsia"/>
                <w:b/>
                <w:bCs/>
                <w:color w:val="FFFFFF"/>
                <w:kern w:val="0"/>
                <w:szCs w:val="21"/>
              </w:rPr>
              <w:t>（</w:t>
            </w:r>
            <w:r>
              <w:rPr>
                <w:rFonts w:hint="eastAsia"/>
                <w:b/>
                <w:bCs/>
                <w:color w:val="FFFFFF"/>
                <w:kern w:val="0"/>
                <w:szCs w:val="21"/>
                <w:lang w:eastAsia="zh-CN"/>
              </w:rPr>
              <w:t>毫米</w:t>
            </w:r>
            <w:r>
              <w:rPr>
                <w:rFonts w:hint="eastAsia"/>
                <w:b/>
                <w:bCs/>
                <w:color w:val="FFFFFF"/>
                <w:kern w:val="0"/>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tcBorders>
              <w:bottom w:val="single" w:color="FFFFFF" w:sz="6" w:space="0"/>
            </w:tcBorders>
            <w:shd w:val="clear" w:color="auto" w:fill="B9E6FB"/>
            <w:noWrap w:val="0"/>
            <w:vAlign w:val="center"/>
          </w:tcPr>
          <w:p>
            <w:pPr>
              <w:adjustRightInd w:val="0"/>
              <w:snapToGrid w:val="0"/>
              <w:jc w:val="center"/>
              <w:rPr>
                <w:rFonts w:hint="eastAsia" w:eastAsia="宋体"/>
                <w:color w:val="000000"/>
                <w:szCs w:val="21"/>
                <w:lang w:eastAsia="zh-CN"/>
              </w:rPr>
            </w:pPr>
            <w:r>
              <w:rPr>
                <w:rFonts w:hint="eastAsia"/>
                <w:color w:val="000000"/>
                <w:szCs w:val="21"/>
                <w:lang w:val="en-US" w:eastAsia="zh-CN"/>
              </w:rPr>
              <w:t>1</w:t>
            </w:r>
          </w:p>
        </w:tc>
        <w:tc>
          <w:tcPr>
            <w:tcW w:w="2986" w:type="dxa"/>
            <w:tcBorders>
              <w:bottom w:val="single" w:color="FFFFFF" w:sz="6" w:space="0"/>
            </w:tcBorders>
            <w:shd w:val="clear" w:color="auto" w:fill="B9E6FB"/>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2016</w:t>
            </w:r>
          </w:p>
        </w:tc>
        <w:tc>
          <w:tcPr>
            <w:tcW w:w="4003" w:type="dxa"/>
            <w:tcBorders>
              <w:bottom w:val="single" w:color="FFFFFF" w:sz="6" w:space="0"/>
              <w:right w:val="single" w:color="FFFFFF" w:sz="6" w:space="0"/>
            </w:tcBorders>
            <w:shd w:val="clear" w:color="auto" w:fill="B9E6FB"/>
            <w:noWrap w:val="0"/>
            <w:vAlign w:val="center"/>
          </w:tcPr>
          <w:p>
            <w:pPr>
              <w:keepNext w:val="0"/>
              <w:keepLines w:val="0"/>
              <w:pageBreakBefore w:val="0"/>
              <w:widowControl w:val="0"/>
              <w:kinsoku/>
              <w:wordWrap/>
              <w:overflowPunct/>
              <w:topLinePunct w:val="0"/>
              <w:autoSpaceDE/>
              <w:autoSpaceDN/>
              <w:bidi w:val="0"/>
              <w:adjustRightInd w:val="0"/>
              <w:snapToGrid w:val="0"/>
              <w:ind w:right="1680" w:rightChars="800"/>
              <w:jc w:val="right"/>
              <w:textAlignment w:val="auto"/>
              <w:rPr>
                <w:rFonts w:hint="default" w:eastAsia="宋体"/>
                <w:color w:val="000000"/>
                <w:szCs w:val="21"/>
                <w:lang w:val="en-US" w:eastAsia="zh-CN"/>
              </w:rPr>
            </w:pPr>
            <w:r>
              <w:rPr>
                <w:rFonts w:hint="eastAsia"/>
                <w:color w:val="000000"/>
                <w:szCs w:val="21"/>
                <w:lang w:val="en-US" w:eastAsia="zh-CN"/>
              </w:rPr>
              <w:t>125</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tcBorders>
              <w:bottom w:val="single" w:color="FFFFFF" w:sz="6" w:space="0"/>
            </w:tcBorders>
            <w:shd w:val="clear" w:color="auto" w:fill="E2F4FD"/>
            <w:noWrap w:val="0"/>
            <w:vAlign w:val="center"/>
          </w:tcPr>
          <w:p>
            <w:pPr>
              <w:adjustRightInd w:val="0"/>
              <w:snapToGrid w:val="0"/>
              <w:jc w:val="center"/>
              <w:rPr>
                <w:rFonts w:hint="eastAsia" w:eastAsia="宋体"/>
                <w:color w:val="000000"/>
                <w:szCs w:val="21"/>
                <w:lang w:eastAsia="zh-CN"/>
              </w:rPr>
            </w:pPr>
            <w:r>
              <w:rPr>
                <w:rFonts w:hint="eastAsia"/>
                <w:color w:val="000000"/>
                <w:szCs w:val="21"/>
                <w:lang w:val="en-US" w:eastAsia="zh-CN"/>
              </w:rPr>
              <w:t>2</w:t>
            </w:r>
          </w:p>
        </w:tc>
        <w:tc>
          <w:tcPr>
            <w:tcW w:w="2986" w:type="dxa"/>
            <w:tcBorders>
              <w:bottom w:val="single" w:color="FFFFFF" w:sz="6" w:space="0"/>
            </w:tcBorders>
            <w:shd w:val="clear" w:color="auto" w:fill="E2F4FD"/>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2021</w:t>
            </w:r>
          </w:p>
        </w:tc>
        <w:tc>
          <w:tcPr>
            <w:tcW w:w="4003" w:type="dxa"/>
            <w:tcBorders>
              <w:bottom w:val="single" w:color="FFFFFF" w:sz="6" w:space="0"/>
              <w:right w:val="single" w:color="FFFFFF" w:sz="6" w:space="0"/>
            </w:tcBorders>
            <w:shd w:val="clear" w:color="auto" w:fill="E2F4FD"/>
            <w:noWrap w:val="0"/>
            <w:vAlign w:val="center"/>
          </w:tcPr>
          <w:p>
            <w:pPr>
              <w:keepNext w:val="0"/>
              <w:keepLines w:val="0"/>
              <w:pageBreakBefore w:val="0"/>
              <w:widowControl w:val="0"/>
              <w:kinsoku/>
              <w:wordWrap/>
              <w:overflowPunct/>
              <w:topLinePunct w:val="0"/>
              <w:autoSpaceDE/>
              <w:autoSpaceDN/>
              <w:bidi w:val="0"/>
              <w:adjustRightInd w:val="0"/>
              <w:snapToGrid w:val="0"/>
              <w:ind w:right="1680" w:rightChars="800"/>
              <w:jc w:val="right"/>
              <w:textAlignment w:val="auto"/>
              <w:rPr>
                <w:rFonts w:hint="default" w:eastAsia="宋体"/>
                <w:color w:val="000000"/>
                <w:szCs w:val="21"/>
                <w:lang w:val="en-US" w:eastAsia="zh-CN"/>
              </w:rPr>
            </w:pPr>
            <w:r>
              <w:rPr>
                <w:rFonts w:hint="eastAsia"/>
                <w:color w:val="000000"/>
                <w:szCs w:val="21"/>
                <w:lang w:val="en-US" w:eastAsia="zh-CN"/>
              </w:rPr>
              <w:t>96</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tcBorders>
              <w:bottom w:val="single" w:color="FFFFFF" w:sz="6" w:space="0"/>
            </w:tcBorders>
            <w:shd w:val="clear" w:color="auto" w:fill="B9E6FB"/>
            <w:noWrap w:val="0"/>
            <w:vAlign w:val="center"/>
          </w:tcPr>
          <w:p>
            <w:pPr>
              <w:adjustRightInd w:val="0"/>
              <w:snapToGrid w:val="0"/>
              <w:jc w:val="center"/>
              <w:rPr>
                <w:rFonts w:hint="eastAsia" w:eastAsia="宋体"/>
                <w:color w:val="000000"/>
                <w:szCs w:val="21"/>
                <w:lang w:eastAsia="zh-CN"/>
              </w:rPr>
            </w:pPr>
            <w:r>
              <w:rPr>
                <w:rFonts w:hint="eastAsia"/>
                <w:color w:val="000000"/>
                <w:szCs w:val="21"/>
                <w:lang w:val="en-US" w:eastAsia="zh-CN"/>
              </w:rPr>
              <w:t>3</w:t>
            </w:r>
          </w:p>
        </w:tc>
        <w:tc>
          <w:tcPr>
            <w:tcW w:w="2986" w:type="dxa"/>
            <w:tcBorders>
              <w:bottom w:val="single" w:color="FFFFFF" w:sz="6" w:space="0"/>
            </w:tcBorders>
            <w:shd w:val="clear" w:color="auto" w:fill="B9E6FB"/>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2019</w:t>
            </w:r>
          </w:p>
        </w:tc>
        <w:tc>
          <w:tcPr>
            <w:tcW w:w="4003" w:type="dxa"/>
            <w:tcBorders>
              <w:bottom w:val="single" w:color="FFFFFF" w:sz="6" w:space="0"/>
              <w:right w:val="single" w:color="FFFFFF" w:sz="6" w:space="0"/>
            </w:tcBorders>
            <w:shd w:val="clear" w:color="auto" w:fill="B9E6FB"/>
            <w:noWrap w:val="0"/>
            <w:vAlign w:val="center"/>
          </w:tcPr>
          <w:p>
            <w:pPr>
              <w:keepNext w:val="0"/>
              <w:keepLines w:val="0"/>
              <w:pageBreakBefore w:val="0"/>
              <w:widowControl w:val="0"/>
              <w:kinsoku/>
              <w:wordWrap/>
              <w:overflowPunct/>
              <w:topLinePunct w:val="0"/>
              <w:autoSpaceDE/>
              <w:autoSpaceDN/>
              <w:bidi w:val="0"/>
              <w:adjustRightInd w:val="0"/>
              <w:snapToGrid w:val="0"/>
              <w:ind w:right="1680" w:rightChars="800"/>
              <w:jc w:val="right"/>
              <w:textAlignment w:val="auto"/>
              <w:rPr>
                <w:rFonts w:hint="default" w:eastAsia="宋体"/>
                <w:color w:val="000000"/>
                <w:szCs w:val="21"/>
                <w:lang w:val="en-US" w:eastAsia="zh-CN"/>
              </w:rPr>
            </w:pPr>
            <w:r>
              <w:rPr>
                <w:rFonts w:hint="eastAsia"/>
                <w:color w:val="000000"/>
                <w:szCs w:val="21"/>
                <w:lang w:val="en-US" w:eastAsia="zh-CN"/>
              </w:rPr>
              <w:t>93</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tcBorders>
              <w:bottom w:val="single" w:color="FFFFFF" w:sz="6" w:space="0"/>
            </w:tcBorders>
            <w:shd w:val="clear" w:color="auto" w:fill="E2F4FD"/>
            <w:noWrap w:val="0"/>
            <w:vAlign w:val="center"/>
          </w:tcPr>
          <w:p>
            <w:pPr>
              <w:adjustRightInd w:val="0"/>
              <w:snapToGrid w:val="0"/>
              <w:jc w:val="center"/>
              <w:rPr>
                <w:rFonts w:hint="eastAsia" w:eastAsia="宋体"/>
                <w:color w:val="000000"/>
                <w:szCs w:val="21"/>
                <w:lang w:eastAsia="zh-CN"/>
              </w:rPr>
            </w:pPr>
            <w:r>
              <w:rPr>
                <w:rFonts w:hint="eastAsia"/>
                <w:color w:val="000000"/>
                <w:szCs w:val="21"/>
                <w:lang w:val="en-US" w:eastAsia="zh-CN"/>
              </w:rPr>
              <w:t>4</w:t>
            </w:r>
          </w:p>
        </w:tc>
        <w:tc>
          <w:tcPr>
            <w:tcW w:w="2986" w:type="dxa"/>
            <w:tcBorders>
              <w:bottom w:val="single" w:color="FFFFFF" w:sz="6" w:space="0"/>
            </w:tcBorders>
            <w:shd w:val="clear" w:color="auto" w:fill="E2F4FD"/>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2014</w:t>
            </w:r>
          </w:p>
        </w:tc>
        <w:tc>
          <w:tcPr>
            <w:tcW w:w="4003" w:type="dxa"/>
            <w:tcBorders>
              <w:bottom w:val="single" w:color="FFFFFF" w:sz="6" w:space="0"/>
              <w:right w:val="single" w:color="FFFFFF" w:sz="6" w:space="0"/>
            </w:tcBorders>
            <w:shd w:val="clear" w:color="auto" w:fill="E2F4FD"/>
            <w:noWrap w:val="0"/>
            <w:vAlign w:val="center"/>
          </w:tcPr>
          <w:p>
            <w:pPr>
              <w:keepNext w:val="0"/>
              <w:keepLines w:val="0"/>
              <w:pageBreakBefore w:val="0"/>
              <w:widowControl w:val="0"/>
              <w:kinsoku/>
              <w:wordWrap/>
              <w:overflowPunct/>
              <w:topLinePunct w:val="0"/>
              <w:autoSpaceDE/>
              <w:autoSpaceDN/>
              <w:bidi w:val="0"/>
              <w:adjustRightInd w:val="0"/>
              <w:snapToGrid w:val="0"/>
              <w:ind w:right="1680" w:rightChars="800"/>
              <w:jc w:val="right"/>
              <w:textAlignment w:val="auto"/>
              <w:rPr>
                <w:rFonts w:hint="default" w:eastAsia="宋体"/>
                <w:color w:val="000000"/>
                <w:szCs w:val="21"/>
                <w:lang w:val="en-US" w:eastAsia="zh-CN"/>
              </w:rPr>
            </w:pPr>
            <w:r>
              <w:rPr>
                <w:rFonts w:hint="eastAsia"/>
                <w:color w:val="000000"/>
                <w:szCs w:val="21"/>
                <w:lang w:val="en-US" w:eastAsia="zh-CN"/>
              </w:rPr>
              <w:t>90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tcBorders>
              <w:bottom w:val="single" w:color="FFFFFF" w:sz="6" w:space="0"/>
            </w:tcBorders>
            <w:shd w:val="clear" w:color="auto" w:fill="B9E6FB"/>
            <w:noWrap w:val="0"/>
            <w:vAlign w:val="center"/>
          </w:tcPr>
          <w:p>
            <w:pPr>
              <w:adjustRightInd w:val="0"/>
              <w:snapToGrid w:val="0"/>
              <w:jc w:val="center"/>
              <w:rPr>
                <w:rFonts w:hint="eastAsia" w:eastAsia="宋体"/>
                <w:color w:val="000000"/>
                <w:szCs w:val="21"/>
                <w:lang w:eastAsia="zh-CN"/>
              </w:rPr>
            </w:pPr>
            <w:r>
              <w:rPr>
                <w:rFonts w:hint="eastAsia"/>
                <w:color w:val="000000"/>
                <w:szCs w:val="21"/>
                <w:lang w:val="en-US" w:eastAsia="zh-CN"/>
              </w:rPr>
              <w:t>5</w:t>
            </w:r>
          </w:p>
        </w:tc>
        <w:tc>
          <w:tcPr>
            <w:tcW w:w="2986" w:type="dxa"/>
            <w:tcBorders>
              <w:bottom w:val="single" w:color="FFFFFF" w:sz="6" w:space="0"/>
            </w:tcBorders>
            <w:shd w:val="clear" w:color="auto" w:fill="B9E6FB"/>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2020</w:t>
            </w:r>
          </w:p>
        </w:tc>
        <w:tc>
          <w:tcPr>
            <w:tcW w:w="4003" w:type="dxa"/>
            <w:tcBorders>
              <w:bottom w:val="single" w:color="FFFFFF" w:sz="6" w:space="0"/>
              <w:right w:val="single" w:color="FFFFFF" w:sz="6" w:space="0"/>
            </w:tcBorders>
            <w:shd w:val="clear" w:color="auto" w:fill="B9E6FB"/>
            <w:noWrap w:val="0"/>
            <w:vAlign w:val="center"/>
          </w:tcPr>
          <w:p>
            <w:pPr>
              <w:keepNext w:val="0"/>
              <w:keepLines w:val="0"/>
              <w:pageBreakBefore w:val="0"/>
              <w:widowControl w:val="0"/>
              <w:kinsoku/>
              <w:wordWrap/>
              <w:overflowPunct/>
              <w:topLinePunct w:val="0"/>
              <w:autoSpaceDE/>
              <w:autoSpaceDN/>
              <w:bidi w:val="0"/>
              <w:adjustRightInd w:val="0"/>
              <w:snapToGrid w:val="0"/>
              <w:ind w:right="1680" w:rightChars="800"/>
              <w:jc w:val="right"/>
              <w:textAlignment w:val="auto"/>
              <w:rPr>
                <w:rFonts w:hint="default" w:eastAsia="宋体"/>
                <w:color w:val="000000"/>
                <w:szCs w:val="21"/>
                <w:lang w:val="en-US" w:eastAsia="zh-CN"/>
              </w:rPr>
            </w:pPr>
            <w:r>
              <w:rPr>
                <w:rFonts w:hint="eastAsia"/>
                <w:color w:val="000000"/>
                <w:szCs w:val="21"/>
                <w:lang w:val="en-US" w:eastAsia="zh-CN"/>
              </w:rPr>
              <w:t>88</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tcBorders>
              <w:bottom w:val="single" w:color="FFFFFF" w:sz="6" w:space="0"/>
            </w:tcBorders>
            <w:shd w:val="clear" w:color="auto" w:fill="E2F4FD"/>
            <w:noWrap w:val="0"/>
            <w:vAlign w:val="center"/>
          </w:tcPr>
          <w:p>
            <w:pPr>
              <w:adjustRightInd w:val="0"/>
              <w:snapToGrid w:val="0"/>
              <w:jc w:val="center"/>
              <w:rPr>
                <w:rFonts w:hint="eastAsia" w:eastAsia="宋体"/>
                <w:color w:val="000000"/>
                <w:szCs w:val="21"/>
                <w:lang w:eastAsia="zh-CN"/>
              </w:rPr>
            </w:pPr>
            <w:r>
              <w:rPr>
                <w:rFonts w:hint="eastAsia"/>
                <w:color w:val="000000"/>
                <w:szCs w:val="21"/>
                <w:lang w:val="en-US" w:eastAsia="zh-CN"/>
              </w:rPr>
              <w:t>6</w:t>
            </w:r>
          </w:p>
        </w:tc>
        <w:tc>
          <w:tcPr>
            <w:tcW w:w="2986" w:type="dxa"/>
            <w:tcBorders>
              <w:bottom w:val="single" w:color="FFFFFF" w:sz="6" w:space="0"/>
            </w:tcBorders>
            <w:shd w:val="clear" w:color="auto" w:fill="E2F4FD"/>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2012</w:t>
            </w:r>
          </w:p>
        </w:tc>
        <w:tc>
          <w:tcPr>
            <w:tcW w:w="4003" w:type="dxa"/>
            <w:tcBorders>
              <w:bottom w:val="single" w:color="FFFFFF" w:sz="6" w:space="0"/>
              <w:right w:val="single" w:color="FFFFFF" w:sz="6" w:space="0"/>
            </w:tcBorders>
            <w:shd w:val="clear" w:color="auto" w:fill="E2F4FD"/>
            <w:noWrap w:val="0"/>
            <w:vAlign w:val="center"/>
          </w:tcPr>
          <w:p>
            <w:pPr>
              <w:keepNext w:val="0"/>
              <w:keepLines w:val="0"/>
              <w:pageBreakBefore w:val="0"/>
              <w:widowControl w:val="0"/>
              <w:kinsoku/>
              <w:wordWrap/>
              <w:overflowPunct/>
              <w:topLinePunct w:val="0"/>
              <w:autoSpaceDE/>
              <w:autoSpaceDN/>
              <w:bidi w:val="0"/>
              <w:adjustRightInd w:val="0"/>
              <w:snapToGrid w:val="0"/>
              <w:ind w:right="1680" w:rightChars="800"/>
              <w:jc w:val="right"/>
              <w:textAlignment w:val="auto"/>
              <w:rPr>
                <w:rFonts w:hint="default" w:eastAsia="宋体"/>
                <w:color w:val="000000"/>
                <w:szCs w:val="21"/>
                <w:lang w:val="en-US" w:eastAsia="zh-CN"/>
              </w:rPr>
            </w:pPr>
            <w:r>
              <w:rPr>
                <w:rFonts w:hint="eastAsia"/>
                <w:color w:val="000000"/>
                <w:szCs w:val="21"/>
                <w:lang w:val="en-US" w:eastAsia="zh-CN"/>
              </w:rPr>
              <w:t>87</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54" w:hRule="atLeast"/>
          <w:jc w:val="center"/>
        </w:trPr>
        <w:tc>
          <w:tcPr>
            <w:tcW w:w="1552" w:type="dxa"/>
            <w:tcBorders>
              <w:bottom w:val="single" w:color="FFFFFF" w:sz="6" w:space="0"/>
            </w:tcBorders>
            <w:shd w:val="clear" w:color="auto" w:fill="B9E6FB"/>
            <w:noWrap w:val="0"/>
            <w:vAlign w:val="center"/>
          </w:tcPr>
          <w:p>
            <w:pPr>
              <w:adjustRightInd w:val="0"/>
              <w:snapToGrid w:val="0"/>
              <w:jc w:val="center"/>
              <w:rPr>
                <w:rFonts w:hint="eastAsia" w:eastAsia="宋体"/>
                <w:color w:val="000000"/>
                <w:szCs w:val="21"/>
                <w:lang w:eastAsia="zh-CN"/>
              </w:rPr>
            </w:pPr>
            <w:r>
              <w:rPr>
                <w:rFonts w:hint="eastAsia"/>
                <w:color w:val="000000"/>
                <w:szCs w:val="21"/>
                <w:lang w:val="en-US" w:eastAsia="zh-CN"/>
              </w:rPr>
              <w:t>7</w:t>
            </w:r>
          </w:p>
        </w:tc>
        <w:tc>
          <w:tcPr>
            <w:tcW w:w="2986" w:type="dxa"/>
            <w:tcBorders>
              <w:bottom w:val="single" w:color="FFFFFF" w:sz="6" w:space="0"/>
            </w:tcBorders>
            <w:shd w:val="clear" w:color="auto" w:fill="B9E6FB"/>
            <w:noWrap w:val="0"/>
            <w:vAlign w:val="center"/>
          </w:tcPr>
          <w:p>
            <w:pPr>
              <w:adjustRightInd w:val="0"/>
              <w:snapToGrid w:val="0"/>
              <w:jc w:val="center"/>
              <w:rPr>
                <w:rFonts w:hint="default" w:eastAsia="宋体"/>
                <w:color w:val="000000"/>
                <w:szCs w:val="21"/>
                <w:lang w:val="en-US" w:eastAsia="zh-CN"/>
              </w:rPr>
            </w:pPr>
            <w:r>
              <w:rPr>
                <w:rFonts w:hint="eastAsia"/>
                <w:color w:val="000000"/>
                <w:szCs w:val="21"/>
                <w:lang w:val="en-US" w:eastAsia="zh-CN"/>
              </w:rPr>
              <w:t>2022</w:t>
            </w:r>
          </w:p>
        </w:tc>
        <w:tc>
          <w:tcPr>
            <w:tcW w:w="4003" w:type="dxa"/>
            <w:tcBorders>
              <w:bottom w:val="single" w:color="FFFFFF" w:sz="6" w:space="0"/>
              <w:right w:val="single" w:color="FFFFFF" w:sz="6" w:space="0"/>
            </w:tcBorders>
            <w:shd w:val="clear" w:color="auto" w:fill="B9E6FB"/>
            <w:noWrap w:val="0"/>
            <w:vAlign w:val="center"/>
          </w:tcPr>
          <w:p>
            <w:pPr>
              <w:keepNext w:val="0"/>
              <w:keepLines w:val="0"/>
              <w:pageBreakBefore w:val="0"/>
              <w:widowControl w:val="0"/>
              <w:kinsoku/>
              <w:wordWrap/>
              <w:overflowPunct/>
              <w:topLinePunct w:val="0"/>
              <w:autoSpaceDE/>
              <w:autoSpaceDN/>
              <w:bidi w:val="0"/>
              <w:adjustRightInd w:val="0"/>
              <w:snapToGrid w:val="0"/>
              <w:ind w:right="1680" w:rightChars="800"/>
              <w:jc w:val="right"/>
              <w:textAlignment w:val="auto"/>
              <w:rPr>
                <w:rFonts w:hint="default" w:eastAsia="宋体"/>
                <w:color w:val="000000"/>
                <w:szCs w:val="21"/>
                <w:lang w:val="en-US" w:eastAsia="zh-CN"/>
              </w:rPr>
            </w:pPr>
            <w:r>
              <w:rPr>
                <w:rFonts w:hint="eastAsia"/>
                <w:color w:val="000000"/>
                <w:szCs w:val="21"/>
                <w:lang w:val="en-US" w:eastAsia="zh-CN"/>
              </w:rPr>
              <w:t>85</w:t>
            </w:r>
          </w:p>
        </w:tc>
      </w:tr>
    </w:tbl>
    <w:p>
      <w:pPr>
        <w:adjustRightInd w:val="0"/>
        <w:snapToGrid w:val="0"/>
        <w:jc w:val="left"/>
        <w:rPr>
          <w:rFonts w:hint="default" w:ascii="Times New Roman" w:hAnsi="Times New Roman" w:eastAsia="宋体" w:cs="Times New Roman"/>
          <w:b w:val="0"/>
          <w:bCs w:val="0"/>
          <w:color w:val="auto"/>
          <w:szCs w:val="21"/>
          <w:lang w:val="en-US" w:eastAsia="zh-CN"/>
        </w:rPr>
      </w:pPr>
      <w:r>
        <w:rPr>
          <w:rFonts w:ascii="宋体" w:hAnsi="宋体"/>
          <w:color w:val="auto"/>
          <w:szCs w:val="18"/>
        </w:rPr>
        <w:t>注：</w:t>
      </w:r>
      <w:r>
        <w:rPr>
          <w:rFonts w:hint="eastAsia" w:ascii="Times New Roman" w:hAnsi="Times New Roman" w:eastAsia="宋体" w:cs="Times New Roman"/>
          <w:b w:val="0"/>
          <w:bCs w:val="0"/>
          <w:color w:val="auto"/>
          <w:szCs w:val="21"/>
          <w:lang w:eastAsia="zh-CN"/>
        </w:rPr>
        <w:t>比常年平均海平面高为正值，比常年平均海平面低为负值</w:t>
      </w:r>
      <w:r>
        <w:rPr>
          <w:rFonts w:hint="eastAsia" w:ascii="宋体" w:hAnsi="宋体"/>
          <w:color w:val="auto"/>
          <w:szCs w:val="18"/>
        </w:rPr>
        <w:t>。</w:t>
      </w:r>
    </w:p>
    <w:p>
      <w:pPr>
        <w:pStyle w:val="8"/>
        <w:spacing w:after="124" w:afterLines="40" w:line="580" w:lineRule="exact"/>
        <w:ind w:firstLine="552" w:firstLineChars="200"/>
        <w:jc w:val="both"/>
        <w:rPr>
          <w:rFonts w:ascii="Times New Roman"/>
          <w:szCs w:val="28"/>
        </w:rPr>
      </w:pPr>
      <w:r>
        <w:rPr>
          <w:rFonts w:hint="eastAsia" w:ascii="Times New Roman"/>
          <w:spacing w:val="-2"/>
          <w:szCs w:val="28"/>
        </w:rPr>
        <w:t>202</w:t>
      </w:r>
      <w:r>
        <w:rPr>
          <w:rFonts w:ascii="Times New Roman"/>
          <w:spacing w:val="-2"/>
          <w:szCs w:val="28"/>
        </w:rPr>
        <w:t>2</w:t>
      </w:r>
      <w:r>
        <w:rPr>
          <w:rFonts w:hint="eastAsia" w:ascii="Times New Roman"/>
          <w:spacing w:val="-2"/>
          <w:szCs w:val="28"/>
        </w:rPr>
        <w:t>年，浙江沿海</w:t>
      </w:r>
      <w:r>
        <w:rPr>
          <w:rFonts w:ascii="Times New Roman"/>
          <w:spacing w:val="-2"/>
          <w:szCs w:val="28"/>
        </w:rPr>
        <w:t>1月</w:t>
      </w:r>
      <w:r>
        <w:rPr>
          <w:rFonts w:hint="eastAsia" w:ascii="Times New Roman"/>
          <w:spacing w:val="-2"/>
          <w:szCs w:val="28"/>
        </w:rPr>
        <w:t>、2</w:t>
      </w:r>
      <w:r>
        <w:rPr>
          <w:rFonts w:ascii="Times New Roman"/>
          <w:spacing w:val="-2"/>
          <w:szCs w:val="28"/>
        </w:rPr>
        <w:t>月</w:t>
      </w:r>
      <w:r>
        <w:rPr>
          <w:rFonts w:hint="eastAsia" w:ascii="Times New Roman"/>
          <w:spacing w:val="-2"/>
          <w:szCs w:val="28"/>
        </w:rPr>
        <w:t>、3</w:t>
      </w:r>
      <w:r>
        <w:rPr>
          <w:rFonts w:ascii="Times New Roman"/>
          <w:spacing w:val="-2"/>
          <w:szCs w:val="28"/>
        </w:rPr>
        <w:t>月和9月海平面较常年同期分别高</w:t>
      </w:r>
      <w:r>
        <w:rPr>
          <w:rFonts w:hint="eastAsia" w:ascii="Times New Roman"/>
          <w:spacing w:val="-2"/>
          <w:szCs w:val="28"/>
        </w:rPr>
        <w:t>1</w:t>
      </w:r>
      <w:r>
        <w:rPr>
          <w:rFonts w:ascii="Times New Roman"/>
          <w:spacing w:val="-2"/>
          <w:szCs w:val="28"/>
        </w:rPr>
        <w:t>38毫米</w:t>
      </w:r>
      <w:r>
        <w:rPr>
          <w:rFonts w:hint="eastAsia" w:ascii="Times New Roman"/>
          <w:spacing w:val="-2"/>
          <w:szCs w:val="28"/>
        </w:rPr>
        <w:t>、1</w:t>
      </w:r>
      <w:r>
        <w:rPr>
          <w:rFonts w:ascii="Times New Roman"/>
          <w:spacing w:val="-2"/>
          <w:szCs w:val="28"/>
        </w:rPr>
        <w:t>49毫米</w:t>
      </w:r>
      <w:r>
        <w:rPr>
          <w:rFonts w:hint="eastAsia" w:ascii="Times New Roman"/>
          <w:spacing w:val="-2"/>
          <w:szCs w:val="28"/>
        </w:rPr>
        <w:t>、1</w:t>
      </w:r>
      <w:r>
        <w:rPr>
          <w:rFonts w:ascii="Times New Roman"/>
          <w:spacing w:val="-2"/>
          <w:szCs w:val="28"/>
        </w:rPr>
        <w:t>56毫米和</w:t>
      </w:r>
      <w:r>
        <w:rPr>
          <w:rFonts w:hint="eastAsia" w:ascii="Times New Roman"/>
          <w:spacing w:val="-2"/>
          <w:szCs w:val="28"/>
        </w:rPr>
        <w:t>1</w:t>
      </w:r>
      <w:r>
        <w:rPr>
          <w:rFonts w:ascii="Times New Roman"/>
          <w:spacing w:val="-2"/>
          <w:szCs w:val="28"/>
        </w:rPr>
        <w:t>25毫米</w:t>
      </w:r>
      <w:r>
        <w:rPr>
          <w:rFonts w:hint="eastAsia" w:ascii="Times New Roman"/>
          <w:spacing w:val="-2"/>
          <w:szCs w:val="28"/>
        </w:rPr>
        <w:t>，</w:t>
      </w:r>
      <w:r>
        <w:rPr>
          <w:rFonts w:ascii="Times New Roman"/>
          <w:spacing w:val="-2"/>
          <w:szCs w:val="28"/>
        </w:rPr>
        <w:t>其中</w:t>
      </w:r>
      <w:r>
        <w:rPr>
          <w:rFonts w:hint="eastAsia" w:ascii="Times New Roman"/>
          <w:spacing w:val="-2"/>
          <w:szCs w:val="28"/>
        </w:rPr>
        <w:t>1月和3月海平面为1</w:t>
      </w:r>
      <w:r>
        <w:rPr>
          <w:rFonts w:ascii="Times New Roman"/>
          <w:spacing w:val="-2"/>
          <w:szCs w:val="28"/>
        </w:rPr>
        <w:t>980年以来同期最高</w:t>
      </w:r>
      <w:r>
        <w:rPr>
          <w:rFonts w:hint="eastAsia" w:ascii="Times New Roman"/>
          <w:spacing w:val="-2"/>
          <w:szCs w:val="28"/>
        </w:rPr>
        <w:t>，2月和9月海平面为1</w:t>
      </w:r>
      <w:r>
        <w:rPr>
          <w:rFonts w:ascii="Times New Roman"/>
          <w:spacing w:val="-2"/>
          <w:szCs w:val="28"/>
        </w:rPr>
        <w:t>980年以来同期第二高</w:t>
      </w:r>
      <w:r>
        <w:rPr>
          <w:rFonts w:hint="eastAsia" w:ascii="Times New Roman"/>
          <w:spacing w:val="-2"/>
          <w:szCs w:val="28"/>
        </w:rPr>
        <w:t>；与</w:t>
      </w:r>
      <w:r>
        <w:rPr>
          <w:rFonts w:ascii="Times New Roman"/>
          <w:spacing w:val="-2"/>
          <w:szCs w:val="28"/>
        </w:rPr>
        <w:t>2021年同期相比</w:t>
      </w:r>
      <w:r>
        <w:rPr>
          <w:rFonts w:hint="eastAsia" w:ascii="Times New Roman"/>
          <w:spacing w:val="-2"/>
          <w:szCs w:val="28"/>
        </w:rPr>
        <w:t>，1月海平面上升8</w:t>
      </w:r>
      <w:r>
        <w:rPr>
          <w:rFonts w:ascii="Times New Roman"/>
          <w:spacing w:val="-2"/>
          <w:szCs w:val="28"/>
        </w:rPr>
        <w:t>3毫米</w:t>
      </w:r>
      <w:r>
        <w:rPr>
          <w:rFonts w:hint="eastAsia" w:ascii="Times New Roman"/>
          <w:spacing w:val="-2"/>
          <w:szCs w:val="28"/>
        </w:rPr>
        <w:t>，7月和8月海平面分别下降1</w:t>
      </w:r>
      <w:r>
        <w:rPr>
          <w:rFonts w:ascii="Times New Roman"/>
          <w:spacing w:val="-2"/>
          <w:szCs w:val="28"/>
        </w:rPr>
        <w:t>00毫米和</w:t>
      </w:r>
      <w:r>
        <w:rPr>
          <w:rFonts w:hint="eastAsia" w:ascii="Times New Roman"/>
          <w:spacing w:val="-2"/>
          <w:szCs w:val="28"/>
        </w:rPr>
        <w:t>1</w:t>
      </w:r>
      <w:r>
        <w:rPr>
          <w:rFonts w:ascii="Times New Roman"/>
          <w:spacing w:val="-2"/>
          <w:szCs w:val="28"/>
        </w:rPr>
        <w:t>50毫米（</w:t>
      </w:r>
      <w:r>
        <w:rPr>
          <w:rFonts w:hint="eastAsia"/>
          <w:sz w:val="28"/>
          <w:szCs w:val="28"/>
          <w:lang w:eastAsia="zh-CN"/>
        </w:rPr>
        <w:t>见</w:t>
      </w:r>
      <w:r>
        <w:rPr>
          <w:rFonts w:ascii="Times New Roman"/>
          <w:spacing w:val="-2"/>
          <w:szCs w:val="28"/>
        </w:rPr>
        <w:t>图</w:t>
      </w:r>
      <w:r>
        <w:rPr>
          <w:rFonts w:hint="eastAsia" w:ascii="Times New Roman"/>
          <w:spacing w:val="-2"/>
          <w:szCs w:val="28"/>
          <w:lang w:val="en-US" w:eastAsia="zh-CN"/>
        </w:rPr>
        <w:t>10</w:t>
      </w:r>
      <w:r>
        <w:rPr>
          <w:rFonts w:ascii="Times New Roman"/>
          <w:spacing w:val="-2"/>
          <w:szCs w:val="28"/>
        </w:rPr>
        <w:t>）</w:t>
      </w:r>
      <w:r>
        <w:rPr>
          <w:rFonts w:ascii="Times New Roman"/>
          <w:szCs w:val="28"/>
        </w:rPr>
        <w:t>。</w:t>
      </w:r>
    </w:p>
    <w:p>
      <w:pPr>
        <w:jc w:val="center"/>
        <w:rPr>
          <w:rFonts w:hint="eastAsia" w:eastAsia="仿宋_GB2312"/>
          <w:sz w:val="28"/>
          <w:szCs w:val="28"/>
        </w:rPr>
      </w:pPr>
      <w:r>
        <w:rPr>
          <w:rFonts w:eastAsia="仿宋_GB2312"/>
          <w:sz w:val="28"/>
          <w:szCs w:val="28"/>
        </w:rPr>
        <w:drawing>
          <wp:inline distT="0" distB="0" distL="114300" distR="114300">
            <wp:extent cx="4632960" cy="2273935"/>
            <wp:effectExtent l="0" t="0" r="15240" b="12065"/>
            <wp:docPr id="16" name="图片 3" descr="D:\2 中国海平面公报\2022年中国海平面公报\各省市公报\浙江\图6.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 descr="D:\2 中国海平面公报\2022年中国海平面公报\各省市公报\浙江\图6.2.jpg"/>
                    <pic:cNvPicPr>
                      <a:picLocks noChangeAspect="true"/>
                    </pic:cNvPicPr>
                  </pic:nvPicPr>
                  <pic:blipFill>
                    <a:blip r:embed="rId26"/>
                    <a:srcRect t="6863" b="7199"/>
                    <a:stretch>
                      <a:fillRect/>
                    </a:stretch>
                  </pic:blipFill>
                  <pic:spPr>
                    <a:xfrm>
                      <a:off x="0" y="0"/>
                      <a:ext cx="4632960" cy="2273935"/>
                    </a:xfrm>
                    <a:prstGeom prst="rect">
                      <a:avLst/>
                    </a:prstGeom>
                    <a:noFill/>
                    <a:ln>
                      <a:noFill/>
                    </a:ln>
                  </pic:spPr>
                </pic:pic>
              </a:graphicData>
            </a:graphic>
          </wp:inline>
        </w:drawing>
      </w:r>
    </w:p>
    <w:p>
      <w:pPr>
        <w:spacing w:line="360" w:lineRule="auto"/>
        <w:jc w:val="center"/>
        <w:rPr>
          <w:rFonts w:hAnsi="宋体"/>
          <w:sz w:val="24"/>
        </w:rPr>
      </w:pPr>
      <w:r>
        <w:rPr>
          <w:rFonts w:hAnsi="宋体"/>
          <w:sz w:val="24"/>
        </w:rPr>
        <w:t>图</w:t>
      </w:r>
      <w:r>
        <w:rPr>
          <w:rFonts w:hint="eastAsia" w:hAnsi="宋体"/>
          <w:sz w:val="24"/>
          <w:lang w:val="en-US" w:eastAsia="zh-CN"/>
        </w:rPr>
        <w:t>10</w:t>
      </w:r>
      <w:r>
        <w:rPr>
          <w:rFonts w:hAnsi="宋体"/>
          <w:sz w:val="24"/>
        </w:rPr>
        <w:t xml:space="preserve">  2022年浙江沿海月平均海平面变化</w:t>
      </w:r>
    </w:p>
    <w:p>
      <w:pPr>
        <w:spacing w:line="360" w:lineRule="auto"/>
        <w:jc w:val="center"/>
        <w:rPr>
          <w:rFonts w:hAnsi="宋体"/>
          <w:sz w:val="24"/>
        </w:rPr>
      </w:pPr>
      <w:r>
        <w:rPr>
          <w:rFonts w:hint="eastAsia" w:hAnsi="宋体"/>
          <w:sz w:val="24"/>
        </w:rPr>
        <w:t>（资料来源：国家海洋信息中心）</w:t>
      </w:r>
    </w:p>
    <w:p>
      <w:pPr>
        <w:jc w:val="center"/>
        <w:rPr>
          <w:rFonts w:eastAsia="仿宋_GB2312"/>
          <w:color w:val="000000"/>
          <w:sz w:val="28"/>
          <w:szCs w:val="28"/>
        </w:rPr>
      </w:pPr>
    </w:p>
    <w:p>
      <w:pPr>
        <w:spacing w:after="156" w:afterLines="50" w:line="360" w:lineRule="auto"/>
        <w:jc w:val="center"/>
        <w:rPr>
          <w:rFonts w:hint="eastAsia" w:hAnsi="宋体"/>
          <w:color w:val="FF0000"/>
          <w:sz w:val="24"/>
        </w:rPr>
      </w:pPr>
    </w:p>
    <w:p>
      <w:pPr>
        <w:spacing w:after="156" w:afterLines="50" w:line="360" w:lineRule="auto"/>
        <w:jc w:val="center"/>
        <w:rPr>
          <w:rFonts w:hint="eastAsia" w:hAnsi="宋体"/>
          <w:color w:val="FF0000"/>
          <w:sz w:val="24"/>
        </w:rPr>
      </w:pPr>
    </w:p>
    <w:p>
      <w:pPr>
        <w:spacing w:after="156" w:afterLines="50" w:line="360" w:lineRule="auto"/>
        <w:jc w:val="center"/>
        <w:rPr>
          <w:rFonts w:hint="eastAsia"/>
          <w:color w:val="FF0000"/>
          <w:sz w:val="24"/>
        </w:rPr>
      </w:pPr>
    </w:p>
    <w:p>
      <w:pPr>
        <w:spacing w:after="156" w:afterLines="50" w:line="360" w:lineRule="auto"/>
        <w:jc w:val="center"/>
        <w:rPr>
          <w:rFonts w:hint="eastAsia"/>
          <w:color w:val="FF0000"/>
          <w:sz w:val="24"/>
        </w:rPr>
      </w:pPr>
    </w:p>
    <w:p>
      <w:pPr>
        <w:spacing w:after="156" w:afterLines="50" w:line="360" w:lineRule="auto"/>
        <w:jc w:val="center"/>
        <w:rPr>
          <w:color w:val="FF0000"/>
          <w:sz w:val="24"/>
        </w:rPr>
      </w:pPr>
    </w:p>
    <w:p>
      <w:pPr>
        <w:spacing w:line="360" w:lineRule="auto"/>
        <w:jc w:val="left"/>
        <w:outlineLvl w:val="0"/>
        <w:rPr>
          <w:rStyle w:val="29"/>
          <w:rFonts w:hint="eastAsia" w:ascii="黑体" w:hAnsi="黑体" w:eastAsia="黑体"/>
        </w:rPr>
      </w:pPr>
      <w:r>
        <w:rPr>
          <w:rFonts w:hint="eastAsia"/>
          <w:b/>
          <w:color w:val="FF0000"/>
          <w:sz w:val="24"/>
        </w:rPr>
        <w:br w:type="page"/>
      </w:r>
      <w:bookmarkStart w:id="17" w:name="_Toc512455512"/>
      <w:r>
        <w:rPr>
          <w:rStyle w:val="29"/>
          <w:rFonts w:hint="eastAsia" w:ascii="黑体" w:hAnsi="黑体" w:eastAsia="黑体"/>
        </w:rPr>
        <w:t>六、咸潮入侵</w:t>
      </w:r>
      <w:bookmarkEnd w:id="17"/>
    </w:p>
    <w:p>
      <w:pPr>
        <w:spacing w:before="156" w:beforeLines="50"/>
        <w:ind w:firstLine="573"/>
        <w:rPr>
          <w:rFonts w:hint="eastAsia"/>
          <w:sz w:val="30"/>
          <w:szCs w:val="30"/>
        </w:rPr>
      </w:pPr>
      <w:r>
        <w:rPr>
          <w:sz w:val="30"/>
          <w:szCs w:val="30"/>
        </w:rPr>
        <w:t>20</w:t>
      </w:r>
      <w:r>
        <w:rPr>
          <w:rFonts w:hint="eastAsia"/>
          <w:sz w:val="30"/>
          <w:szCs w:val="30"/>
        </w:rPr>
        <w:t>22</w:t>
      </w:r>
      <w:r>
        <w:rPr>
          <w:sz w:val="30"/>
          <w:szCs w:val="30"/>
        </w:rPr>
        <w:t>年</w:t>
      </w:r>
      <w:r>
        <w:rPr>
          <w:rFonts w:hint="eastAsia"/>
          <w:sz w:val="30"/>
          <w:szCs w:val="30"/>
        </w:rPr>
        <w:t>，</w:t>
      </w:r>
      <w:r>
        <w:rPr>
          <w:sz w:val="30"/>
          <w:szCs w:val="30"/>
        </w:rPr>
        <w:t>钱塘江水域</w:t>
      </w:r>
      <w:r>
        <w:rPr>
          <w:rFonts w:hint="eastAsia"/>
          <w:sz w:val="30"/>
          <w:szCs w:val="30"/>
        </w:rPr>
        <w:t>监测到</w:t>
      </w:r>
      <w:r>
        <w:rPr>
          <w:sz w:val="30"/>
          <w:szCs w:val="30"/>
        </w:rPr>
        <w:t>咸潮入</w:t>
      </w:r>
      <w:r>
        <w:rPr>
          <w:color w:val="auto"/>
          <w:sz w:val="30"/>
          <w:szCs w:val="30"/>
        </w:rPr>
        <w:t>侵</w:t>
      </w:r>
      <w:r>
        <w:rPr>
          <w:rFonts w:hint="eastAsia"/>
          <w:color w:val="auto"/>
          <w:sz w:val="30"/>
          <w:szCs w:val="30"/>
          <w:lang w:val="en-US" w:eastAsia="zh-CN"/>
        </w:rPr>
        <w:t>8</w:t>
      </w:r>
      <w:r>
        <w:rPr>
          <w:sz w:val="30"/>
          <w:szCs w:val="30"/>
        </w:rPr>
        <w:t>次，</w:t>
      </w:r>
      <w:r>
        <w:rPr>
          <w:rFonts w:hint="eastAsia"/>
          <w:sz w:val="30"/>
          <w:szCs w:val="30"/>
        </w:rPr>
        <w:t>主要出现在8</w:t>
      </w:r>
      <w:r>
        <w:rPr>
          <w:rFonts w:hint="eastAsia"/>
          <w:sz w:val="30"/>
          <w:szCs w:val="30"/>
          <w:lang w:eastAsia="zh-CN"/>
        </w:rPr>
        <w:t>月至</w:t>
      </w:r>
      <w:r>
        <w:rPr>
          <w:rFonts w:hint="eastAsia"/>
          <w:sz w:val="30"/>
          <w:szCs w:val="30"/>
        </w:rPr>
        <w:t>11月。</w:t>
      </w:r>
      <w:r>
        <w:rPr>
          <w:sz w:val="30"/>
          <w:szCs w:val="30"/>
        </w:rPr>
        <w:t>南星水厂取水</w:t>
      </w:r>
      <w:r>
        <w:rPr>
          <w:rFonts w:hint="eastAsia"/>
          <w:sz w:val="30"/>
          <w:szCs w:val="30"/>
        </w:rPr>
        <w:t>口受咸潮影响天数63天，</w:t>
      </w:r>
      <w:r>
        <w:rPr>
          <w:sz w:val="30"/>
          <w:szCs w:val="30"/>
        </w:rPr>
        <w:t>盐度累计超标</w:t>
      </w:r>
      <w:r>
        <w:rPr>
          <w:rFonts w:hint="eastAsia"/>
          <w:sz w:val="30"/>
          <w:szCs w:val="30"/>
        </w:rPr>
        <w:t>时间1 295.80</w:t>
      </w:r>
      <w:r>
        <w:rPr>
          <w:sz w:val="30"/>
          <w:szCs w:val="30"/>
        </w:rPr>
        <w:t>小时，</w:t>
      </w:r>
      <w:r>
        <w:rPr>
          <w:rFonts w:hint="eastAsia"/>
          <w:sz w:val="30"/>
          <w:szCs w:val="30"/>
        </w:rPr>
        <w:t>期间监测的最高氯度值为6 500毫克</w:t>
      </w:r>
      <w:r>
        <w:rPr>
          <w:sz w:val="30"/>
          <w:szCs w:val="30"/>
        </w:rPr>
        <w:t>/</w:t>
      </w:r>
      <w:r>
        <w:rPr>
          <w:rFonts w:hint="eastAsia"/>
          <w:sz w:val="30"/>
          <w:szCs w:val="30"/>
        </w:rPr>
        <w:t>升；白塔岭取水口受咸潮影响天数39天，</w:t>
      </w:r>
      <w:r>
        <w:rPr>
          <w:sz w:val="30"/>
          <w:szCs w:val="30"/>
        </w:rPr>
        <w:t>盐度累计超标</w:t>
      </w:r>
      <w:r>
        <w:rPr>
          <w:rFonts w:hint="eastAsia"/>
          <w:sz w:val="30"/>
          <w:szCs w:val="30"/>
        </w:rPr>
        <w:t>时间621.03</w:t>
      </w:r>
      <w:r>
        <w:rPr>
          <w:sz w:val="30"/>
          <w:szCs w:val="30"/>
        </w:rPr>
        <w:t>小时，</w:t>
      </w:r>
      <w:r>
        <w:rPr>
          <w:rFonts w:hint="eastAsia"/>
          <w:sz w:val="30"/>
          <w:szCs w:val="30"/>
        </w:rPr>
        <w:t>期间监测的最高氯度值为4 500毫克</w:t>
      </w:r>
      <w:r>
        <w:rPr>
          <w:sz w:val="30"/>
          <w:szCs w:val="30"/>
        </w:rPr>
        <w:t>/</w:t>
      </w:r>
      <w:r>
        <w:rPr>
          <w:rFonts w:hint="eastAsia"/>
          <w:sz w:val="30"/>
          <w:szCs w:val="30"/>
        </w:rPr>
        <w:t>升；九溪取水口受咸潮影响天数21天，</w:t>
      </w:r>
      <w:r>
        <w:rPr>
          <w:sz w:val="30"/>
          <w:szCs w:val="30"/>
        </w:rPr>
        <w:t>盐度累计超标</w:t>
      </w:r>
      <w:r>
        <w:rPr>
          <w:rFonts w:hint="eastAsia"/>
          <w:sz w:val="30"/>
          <w:szCs w:val="30"/>
        </w:rPr>
        <w:t>时间377.58</w:t>
      </w:r>
      <w:r>
        <w:rPr>
          <w:sz w:val="30"/>
          <w:szCs w:val="30"/>
        </w:rPr>
        <w:t>小时，</w:t>
      </w:r>
      <w:r>
        <w:rPr>
          <w:rFonts w:hint="eastAsia"/>
          <w:sz w:val="30"/>
          <w:szCs w:val="30"/>
        </w:rPr>
        <w:t>期间监测的最高氯度值为2 150毫克</w:t>
      </w:r>
      <w:r>
        <w:rPr>
          <w:sz w:val="30"/>
          <w:szCs w:val="30"/>
        </w:rPr>
        <w:t>/</w:t>
      </w:r>
      <w:r>
        <w:rPr>
          <w:rFonts w:hint="eastAsia"/>
          <w:sz w:val="30"/>
          <w:szCs w:val="30"/>
        </w:rPr>
        <w:t>升。</w:t>
      </w:r>
    </w:p>
    <w:p>
      <w:pPr>
        <w:spacing w:before="156" w:beforeLines="50"/>
        <w:rPr>
          <w:rFonts w:hint="eastAsia" w:eastAsia="宋体"/>
          <w:sz w:val="30"/>
          <w:szCs w:val="30"/>
          <w:lang w:eastAsia="zh-CN"/>
        </w:rPr>
      </w:pPr>
      <w:r>
        <w:rPr>
          <w:rFonts w:hint="eastAsia" w:eastAsia="宋体"/>
          <w:sz w:val="30"/>
          <w:szCs w:val="30"/>
          <w:lang w:eastAsia="zh-CN"/>
        </w:rPr>
        <w:drawing>
          <wp:inline distT="0" distB="0" distL="114300" distR="114300">
            <wp:extent cx="5356225" cy="3187065"/>
            <wp:effectExtent l="0" t="0" r="15875" b="13335"/>
            <wp:docPr id="17" name="图片 17" descr="咸潮入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咸潮入侵"/>
                    <pic:cNvPicPr>
                      <a:picLocks noChangeAspect="true"/>
                    </pic:cNvPicPr>
                  </pic:nvPicPr>
                  <pic:blipFill>
                    <a:blip r:embed="rId27"/>
                    <a:srcRect l="352" t="5295" r="352" b="10338"/>
                    <a:stretch>
                      <a:fillRect/>
                    </a:stretch>
                  </pic:blipFill>
                  <pic:spPr>
                    <a:xfrm>
                      <a:off x="0" y="0"/>
                      <a:ext cx="5356225" cy="3187065"/>
                    </a:xfrm>
                    <a:prstGeom prst="rect">
                      <a:avLst/>
                    </a:prstGeom>
                    <a:noFill/>
                    <a:ln>
                      <a:noFill/>
                    </a:ln>
                  </pic:spPr>
                </pic:pic>
              </a:graphicData>
            </a:graphic>
          </wp:inline>
        </w:drawing>
      </w:r>
    </w:p>
    <w:p>
      <w:pPr>
        <w:jc w:val="center"/>
        <w:rPr>
          <w:rFonts w:hint="eastAsia" w:eastAsia="宋体"/>
          <w:sz w:val="24"/>
          <w:lang w:eastAsia="zh-CN"/>
        </w:rPr>
      </w:pPr>
      <w:r>
        <w:rPr>
          <w:rFonts w:hint="eastAsia"/>
          <w:sz w:val="24"/>
        </w:rPr>
        <w:t>图</w:t>
      </w:r>
      <w:r>
        <w:rPr>
          <w:rFonts w:hint="eastAsia"/>
          <w:sz w:val="24"/>
          <w:lang w:val="en-US" w:eastAsia="zh-CN"/>
        </w:rPr>
        <w:t>11</w:t>
      </w:r>
      <w:r>
        <w:rPr>
          <w:rFonts w:hint="eastAsia"/>
          <w:sz w:val="24"/>
        </w:rPr>
        <w:t xml:space="preserve"> </w:t>
      </w:r>
      <w:r>
        <w:rPr>
          <w:rFonts w:hint="eastAsia"/>
          <w:sz w:val="24"/>
          <w:lang w:val="en-US" w:eastAsia="zh-CN"/>
        </w:rPr>
        <w:t xml:space="preserve"> 2003</w:t>
      </w:r>
      <w:r>
        <w:rPr>
          <w:rFonts w:hAnsi="宋体"/>
          <w:sz w:val="24"/>
        </w:rPr>
        <w:t>-2022年</w:t>
      </w:r>
      <w:r>
        <w:rPr>
          <w:rFonts w:hint="eastAsia" w:hAnsi="宋体"/>
          <w:sz w:val="24"/>
          <w:lang w:eastAsia="zh-CN"/>
        </w:rPr>
        <w:t>南星水厂取水</w:t>
      </w:r>
      <w:r>
        <w:rPr>
          <w:rFonts w:hint="eastAsia" w:ascii="Times New Roman" w:hAnsi="宋体" w:eastAsia="宋体" w:cs="Times New Roman"/>
          <w:sz w:val="24"/>
          <w:lang w:eastAsia="zh-CN"/>
        </w:rPr>
        <w:t>口盐度累计超标时间和最高氯化值</w:t>
      </w:r>
    </w:p>
    <w:p>
      <w:pPr>
        <w:spacing w:before="156" w:beforeLines="50" w:after="156" w:afterLines="50"/>
        <w:ind w:firstLine="573"/>
        <w:rPr>
          <w:rFonts w:hint="eastAsia"/>
          <w:sz w:val="30"/>
          <w:szCs w:val="30"/>
        </w:rPr>
      </w:pPr>
      <w:r>
        <w:rPr>
          <w:rFonts w:hint="eastAsia"/>
          <w:sz w:val="30"/>
          <w:szCs w:val="30"/>
          <w:lang w:val="en-US" w:eastAsia="zh-CN"/>
        </w:rPr>
        <w:t>2022年</w:t>
      </w:r>
      <w:r>
        <w:rPr>
          <w:rFonts w:hint="eastAsia"/>
          <w:sz w:val="30"/>
          <w:szCs w:val="30"/>
        </w:rPr>
        <w:t>盐度最高的咸潮入侵过程发生于10月24日</w:t>
      </w:r>
      <w:r>
        <w:rPr>
          <w:rFonts w:hint="eastAsia" w:eastAsia="仿宋_GB2312"/>
          <w:sz w:val="30"/>
          <w:szCs w:val="30"/>
        </w:rPr>
        <w:t>-11</w:t>
      </w:r>
      <w:r>
        <w:rPr>
          <w:rFonts w:hint="eastAsia"/>
          <w:sz w:val="30"/>
          <w:szCs w:val="30"/>
        </w:rPr>
        <w:t>月4日，南星水厂取水口监测到过程最高氯度值为6 500毫克</w:t>
      </w:r>
      <w:r>
        <w:rPr>
          <w:sz w:val="30"/>
          <w:szCs w:val="30"/>
        </w:rPr>
        <w:t>/</w:t>
      </w:r>
      <w:r>
        <w:rPr>
          <w:rFonts w:hint="eastAsia"/>
          <w:sz w:val="30"/>
          <w:szCs w:val="30"/>
        </w:rPr>
        <w:t>升</w:t>
      </w:r>
      <w:r>
        <w:rPr>
          <w:rFonts w:hint="eastAsia"/>
          <w:sz w:val="30"/>
          <w:szCs w:val="30"/>
          <w:lang w:eastAsia="zh-CN"/>
        </w:rPr>
        <w:t>，</w:t>
      </w:r>
      <w:r>
        <w:rPr>
          <w:rFonts w:hint="eastAsia" w:ascii="Times New Roman" w:hAnsi="Times New Roman" w:eastAsia="宋体" w:cs="Times New Roman"/>
          <w:sz w:val="30"/>
          <w:szCs w:val="30"/>
        </w:rPr>
        <w:t>咸潮首次上溯至富春江、钱塘江、浦阳江的三江口处，位于三江口的滨江水厂取水口</w:t>
      </w:r>
      <w:r>
        <w:rPr>
          <w:rFonts w:hint="eastAsia" w:ascii="Times New Roman" w:hAnsi="Times New Roman" w:eastAsia="宋体" w:cs="Times New Roman"/>
          <w:sz w:val="30"/>
          <w:szCs w:val="30"/>
          <w:lang w:eastAsia="zh-CN"/>
        </w:rPr>
        <w:t>在</w:t>
      </w:r>
      <w:r>
        <w:rPr>
          <w:rFonts w:hint="eastAsia" w:ascii="Times New Roman" w:hAnsi="Times New Roman" w:eastAsia="宋体" w:cs="Times New Roman"/>
          <w:sz w:val="30"/>
          <w:szCs w:val="30"/>
        </w:rPr>
        <w:t>10月27</w:t>
      </w:r>
      <w:r>
        <w:rPr>
          <w:rFonts w:hint="eastAsia" w:ascii="Times New Roman" w:hAnsi="Times New Roman" w:eastAsia="宋体" w:cs="Times New Roman"/>
          <w:sz w:val="30"/>
          <w:szCs w:val="30"/>
          <w:lang w:eastAsia="zh-CN"/>
        </w:rPr>
        <w:t>日</w:t>
      </w:r>
      <w:r>
        <w:rPr>
          <w:rFonts w:hint="eastAsia" w:eastAsia="仿宋_GB2312"/>
          <w:sz w:val="30"/>
          <w:szCs w:val="30"/>
        </w:rPr>
        <w:t>-</w:t>
      </w:r>
      <w:r>
        <w:rPr>
          <w:rFonts w:hint="eastAsia" w:ascii="Times New Roman" w:hAnsi="Times New Roman" w:eastAsia="宋体" w:cs="Times New Roman"/>
          <w:sz w:val="30"/>
          <w:szCs w:val="30"/>
        </w:rPr>
        <w:t>11月1日</w:t>
      </w:r>
      <w:r>
        <w:rPr>
          <w:sz w:val="30"/>
          <w:szCs w:val="30"/>
        </w:rPr>
        <w:t>盐度</w:t>
      </w:r>
      <w:r>
        <w:rPr>
          <w:rFonts w:hint="eastAsia" w:ascii="Times New Roman" w:hAnsi="Times New Roman" w:eastAsia="宋体" w:cs="Times New Roman"/>
          <w:sz w:val="30"/>
          <w:szCs w:val="30"/>
        </w:rPr>
        <w:t>累计超标78.5</w:t>
      </w:r>
      <w:r>
        <w:rPr>
          <w:rFonts w:hint="eastAsia" w:ascii="Times New Roman" w:hAnsi="Times New Roman" w:eastAsia="宋体" w:cs="Times New Roman"/>
          <w:sz w:val="30"/>
          <w:szCs w:val="30"/>
          <w:lang w:val="en-US" w:eastAsia="zh"/>
        </w:rPr>
        <w:t>0</w:t>
      </w:r>
      <w:r>
        <w:rPr>
          <w:rFonts w:hint="eastAsia" w:ascii="Times New Roman" w:hAnsi="Times New Roman" w:eastAsia="宋体" w:cs="Times New Roman"/>
          <w:sz w:val="30"/>
          <w:szCs w:val="30"/>
        </w:rPr>
        <w:t>小时，</w:t>
      </w:r>
      <w:r>
        <w:rPr>
          <w:rFonts w:hint="eastAsia" w:ascii="Times New Roman" w:hAnsi="Times New Roman" w:eastAsia="宋体" w:cs="Times New Roman"/>
          <w:sz w:val="30"/>
          <w:szCs w:val="30"/>
          <w:lang w:val="en-US" w:eastAsia="zh-CN"/>
        </w:rPr>
        <w:t>最高氯化值达到1</w:t>
      </w:r>
      <w:r>
        <w:rPr>
          <w:rFonts w:hint="eastAsia" w:ascii="Times New Roman" w:hAnsi="Times New Roman" w:eastAsia="宋体" w:cs="Times New Roman"/>
          <w:sz w:val="30"/>
          <w:szCs w:val="30"/>
          <w:lang w:val="en-US" w:eastAsia="zh"/>
        </w:rPr>
        <w:t xml:space="preserve"> </w:t>
      </w:r>
      <w:r>
        <w:rPr>
          <w:rFonts w:hint="eastAsia" w:ascii="Times New Roman" w:hAnsi="Times New Roman" w:eastAsia="宋体" w:cs="Times New Roman"/>
          <w:sz w:val="30"/>
          <w:szCs w:val="30"/>
          <w:lang w:val="en-US" w:eastAsia="zh-CN"/>
        </w:rPr>
        <w:t>520</w:t>
      </w:r>
      <w:r>
        <w:rPr>
          <w:rFonts w:hint="eastAsia"/>
          <w:sz w:val="30"/>
          <w:szCs w:val="30"/>
        </w:rPr>
        <w:t>毫克</w:t>
      </w:r>
      <w:r>
        <w:rPr>
          <w:sz w:val="30"/>
          <w:szCs w:val="30"/>
        </w:rPr>
        <w:t>/</w:t>
      </w:r>
      <w:r>
        <w:rPr>
          <w:rFonts w:hint="eastAsia"/>
          <w:sz w:val="30"/>
          <w:szCs w:val="30"/>
        </w:rPr>
        <w:t>升</w:t>
      </w:r>
      <w:r>
        <w:rPr>
          <w:rFonts w:hint="eastAsia" w:ascii="Times New Roman" w:hAnsi="Times New Roman" w:eastAsia="宋体" w:cs="Times New Roman"/>
          <w:sz w:val="30"/>
          <w:szCs w:val="30"/>
          <w:lang w:val="en-US" w:eastAsia="zh-CN"/>
        </w:rPr>
        <w:t>，并造成出厂水氯化物超标，</w:t>
      </w:r>
      <w:r>
        <w:rPr>
          <w:rFonts w:hint="eastAsia"/>
          <w:sz w:val="30"/>
          <w:szCs w:val="30"/>
        </w:rPr>
        <w:t>最高氯度值</w:t>
      </w:r>
      <w:r>
        <w:rPr>
          <w:rFonts w:hint="eastAsia" w:ascii="Times New Roman" w:hAnsi="Times New Roman" w:eastAsia="宋体" w:cs="Times New Roman"/>
          <w:sz w:val="30"/>
          <w:szCs w:val="30"/>
          <w:lang w:val="en-US" w:eastAsia="zh-CN"/>
        </w:rPr>
        <w:t>达到</w:t>
      </w:r>
      <w:r>
        <w:rPr>
          <w:rFonts w:hint="eastAsia" w:ascii="Times New Roman" w:hAnsi="Times New Roman" w:eastAsia="宋体" w:cs="Times New Roman"/>
          <w:sz w:val="30"/>
          <w:szCs w:val="30"/>
          <w:lang w:val="en-US" w:eastAsia="zh"/>
        </w:rPr>
        <w:t>1 175</w:t>
      </w:r>
      <w:r>
        <w:rPr>
          <w:rFonts w:hint="eastAsia"/>
          <w:sz w:val="30"/>
          <w:szCs w:val="30"/>
        </w:rPr>
        <w:t>毫克</w:t>
      </w:r>
      <w:r>
        <w:rPr>
          <w:sz w:val="30"/>
          <w:szCs w:val="30"/>
        </w:rPr>
        <w:t>/</w:t>
      </w:r>
      <w:r>
        <w:rPr>
          <w:rFonts w:hint="eastAsia"/>
          <w:sz w:val="30"/>
          <w:szCs w:val="30"/>
        </w:rPr>
        <w:t>升</w:t>
      </w:r>
      <w:r>
        <w:rPr>
          <w:rFonts w:hint="eastAsia"/>
          <w:sz w:val="30"/>
          <w:szCs w:val="30"/>
          <w:lang w:eastAsia="zh-CN"/>
        </w:rPr>
        <w:t>，此次过程是</w:t>
      </w:r>
      <w:r>
        <w:rPr>
          <w:rFonts w:hint="eastAsia" w:ascii="Times New Roman" w:hAnsi="Times New Roman" w:eastAsia="宋体" w:cs="Times New Roman"/>
          <w:sz w:val="30"/>
          <w:szCs w:val="30"/>
          <w:lang w:val="en-US" w:eastAsia="zh-CN"/>
        </w:rPr>
        <w:t>近20年来最严重的咸潮入侵过程</w:t>
      </w:r>
      <w:r>
        <w:rPr>
          <w:rFonts w:hint="eastAsia" w:ascii="Times New Roman" w:hAnsi="Times New Roman" w:eastAsia="宋体" w:cs="Times New Roman"/>
          <w:sz w:val="30"/>
          <w:szCs w:val="30"/>
          <w:lang w:eastAsia="zh-CN"/>
        </w:rPr>
        <w:t>（见图</w:t>
      </w:r>
      <w:r>
        <w:rPr>
          <w:rFonts w:hint="eastAsia" w:ascii="Times New Roman" w:hAnsi="Times New Roman" w:eastAsia="宋体" w:cs="Times New Roman"/>
          <w:sz w:val="30"/>
          <w:szCs w:val="30"/>
          <w:lang w:val="en-US" w:eastAsia="zh-CN"/>
        </w:rPr>
        <w:t>11</w:t>
      </w:r>
      <w:r>
        <w:rPr>
          <w:rFonts w:hint="eastAsia" w:ascii="Times New Roman" w:hAnsi="Times New Roman" w:eastAsia="宋体" w:cs="Times New Roman"/>
          <w:sz w:val="30"/>
          <w:szCs w:val="30"/>
          <w:lang w:eastAsia="zh-CN"/>
        </w:rPr>
        <w:t>）。</w:t>
      </w:r>
    </w:p>
    <w:p>
      <w:pPr>
        <w:spacing w:before="156" w:beforeLines="50" w:after="156" w:afterLines="50"/>
        <w:ind w:firstLine="573"/>
        <w:rPr>
          <w:rFonts w:hint="eastAsia"/>
          <w:sz w:val="30"/>
          <w:szCs w:val="30"/>
        </w:rPr>
      </w:pPr>
      <w:r>
        <w:rPr>
          <w:rFonts w:hint="eastAsia"/>
          <w:sz w:val="30"/>
          <w:szCs w:val="30"/>
          <w:lang w:val="en-US" w:eastAsia="zh-CN"/>
        </w:rPr>
        <w:t>2022年</w:t>
      </w:r>
      <w:r>
        <w:rPr>
          <w:rFonts w:hint="eastAsia"/>
          <w:sz w:val="30"/>
          <w:szCs w:val="30"/>
        </w:rPr>
        <w:t>持续时间最长的咸潮入侵过程发生于9月25日</w:t>
      </w:r>
      <w:r>
        <w:rPr>
          <w:rFonts w:hint="eastAsia" w:eastAsia="仿宋_GB2312"/>
          <w:sz w:val="30"/>
          <w:szCs w:val="30"/>
        </w:rPr>
        <w:t>-10月8</w:t>
      </w:r>
      <w:r>
        <w:rPr>
          <w:rFonts w:hint="eastAsia"/>
          <w:sz w:val="30"/>
          <w:szCs w:val="30"/>
        </w:rPr>
        <w:t>日，南星水厂取水口监测到过程</w:t>
      </w:r>
      <w:r>
        <w:rPr>
          <w:sz w:val="30"/>
          <w:szCs w:val="30"/>
        </w:rPr>
        <w:t>盐度累计超标</w:t>
      </w:r>
      <w:r>
        <w:rPr>
          <w:rFonts w:hint="eastAsia"/>
          <w:sz w:val="30"/>
          <w:szCs w:val="30"/>
        </w:rPr>
        <w:t>时间297.50小时（见表</w:t>
      </w:r>
      <w:r>
        <w:rPr>
          <w:rFonts w:hint="eastAsia"/>
          <w:sz w:val="30"/>
          <w:szCs w:val="30"/>
          <w:lang w:val="en-US" w:eastAsia="zh-CN"/>
        </w:rPr>
        <w:t>8</w:t>
      </w:r>
      <w:r>
        <w:rPr>
          <w:rFonts w:hint="eastAsia"/>
          <w:sz w:val="30"/>
          <w:szCs w:val="30"/>
        </w:rPr>
        <w:t>）。</w:t>
      </w:r>
    </w:p>
    <w:p>
      <w:pPr>
        <w:jc w:val="center"/>
        <w:rPr>
          <w:rFonts w:hint="eastAsia" w:ascii="宋体" w:hAnsi="宋体"/>
          <w:sz w:val="32"/>
        </w:rPr>
      </w:pPr>
      <w:r>
        <w:rPr>
          <w:sz w:val="24"/>
        </w:rPr>
        <w:t>表</w:t>
      </w:r>
      <w:r>
        <w:rPr>
          <w:rFonts w:hint="eastAsia"/>
          <w:sz w:val="24"/>
          <w:lang w:val="en-US" w:eastAsia="zh-CN"/>
        </w:rPr>
        <w:t>8</w:t>
      </w:r>
      <w:r>
        <w:rPr>
          <w:sz w:val="24"/>
        </w:rPr>
        <w:t xml:space="preserve">  20</w:t>
      </w:r>
      <w:r>
        <w:rPr>
          <w:rFonts w:hint="eastAsia"/>
          <w:sz w:val="24"/>
        </w:rPr>
        <w:t>22</w:t>
      </w:r>
      <w:r>
        <w:rPr>
          <w:sz w:val="24"/>
        </w:rPr>
        <w:t>年杭州钱塘江水域</w:t>
      </w:r>
      <w:r>
        <w:rPr>
          <w:rFonts w:hint="eastAsia"/>
          <w:sz w:val="24"/>
        </w:rPr>
        <w:t>有影响的</w:t>
      </w:r>
      <w:r>
        <w:rPr>
          <w:sz w:val="24"/>
        </w:rPr>
        <w:t>咸潮入侵事件</w:t>
      </w:r>
    </w:p>
    <w:tbl>
      <w:tblPr>
        <w:tblStyle w:val="20"/>
        <w:tblW w:w="0" w:type="auto"/>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535"/>
        <w:gridCol w:w="2898"/>
        <w:gridCol w:w="2064"/>
        <w:gridCol w:w="1417"/>
        <w:gridCol w:w="1525"/>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675" w:hRule="atLeast"/>
          <w:jc w:val="center"/>
        </w:trPr>
        <w:tc>
          <w:tcPr>
            <w:tcW w:w="535" w:type="dxa"/>
            <w:shd w:val="clear" w:color="auto" w:fill="0F76BB"/>
            <w:noWrap w:val="0"/>
            <w:vAlign w:val="center"/>
          </w:tcPr>
          <w:p>
            <w:pPr>
              <w:jc w:val="center"/>
              <w:rPr>
                <w:b/>
                <w:bCs/>
                <w:color w:val="FFFFFF"/>
                <w:szCs w:val="21"/>
              </w:rPr>
            </w:pPr>
            <w:r>
              <w:rPr>
                <w:b/>
                <w:bCs/>
                <w:color w:val="FFFFFF"/>
                <w:szCs w:val="21"/>
              </w:rPr>
              <w:t>序号</w:t>
            </w:r>
          </w:p>
        </w:tc>
        <w:tc>
          <w:tcPr>
            <w:tcW w:w="2898" w:type="dxa"/>
            <w:shd w:val="clear" w:color="auto" w:fill="0F76BB"/>
            <w:noWrap w:val="0"/>
            <w:vAlign w:val="center"/>
          </w:tcPr>
          <w:p>
            <w:pPr>
              <w:jc w:val="center"/>
              <w:rPr>
                <w:b/>
                <w:bCs/>
                <w:color w:val="FFFFFF"/>
                <w:szCs w:val="21"/>
              </w:rPr>
            </w:pPr>
            <w:r>
              <w:rPr>
                <w:b/>
                <w:bCs/>
                <w:color w:val="FFFFFF"/>
                <w:szCs w:val="21"/>
              </w:rPr>
              <w:t>发生时间</w:t>
            </w:r>
          </w:p>
        </w:tc>
        <w:tc>
          <w:tcPr>
            <w:tcW w:w="2064" w:type="dxa"/>
            <w:tcBorders>
              <w:right w:val="single" w:color="FFFFFF" w:sz="6" w:space="0"/>
            </w:tcBorders>
            <w:shd w:val="clear" w:color="auto" w:fill="0F76BB"/>
            <w:noWrap w:val="0"/>
            <w:vAlign w:val="center"/>
          </w:tcPr>
          <w:p>
            <w:pPr>
              <w:jc w:val="center"/>
              <w:rPr>
                <w:b/>
                <w:bCs/>
                <w:color w:val="FFFFFF"/>
                <w:szCs w:val="21"/>
              </w:rPr>
            </w:pPr>
            <w:r>
              <w:rPr>
                <w:b/>
                <w:bCs/>
                <w:color w:val="FFFFFF"/>
                <w:szCs w:val="21"/>
              </w:rPr>
              <w:t>监测区域</w:t>
            </w:r>
          </w:p>
        </w:tc>
        <w:tc>
          <w:tcPr>
            <w:tcW w:w="1417" w:type="dxa"/>
            <w:tcBorders>
              <w:left w:val="single" w:color="FFFFFF" w:sz="6" w:space="0"/>
            </w:tcBorders>
            <w:shd w:val="clear" w:color="auto" w:fill="0F76BB"/>
            <w:noWrap w:val="0"/>
            <w:vAlign w:val="center"/>
          </w:tcPr>
          <w:p>
            <w:pPr>
              <w:widowControl/>
              <w:snapToGrid w:val="0"/>
              <w:jc w:val="center"/>
              <w:rPr>
                <w:b/>
                <w:bCs/>
                <w:color w:val="FFFFFF"/>
                <w:kern w:val="0"/>
                <w:szCs w:val="21"/>
              </w:rPr>
            </w:pPr>
            <w:r>
              <w:rPr>
                <w:b/>
                <w:bCs/>
                <w:color w:val="FFFFFF"/>
                <w:kern w:val="0"/>
                <w:szCs w:val="21"/>
              </w:rPr>
              <w:t>累计影响时间</w:t>
            </w:r>
          </w:p>
          <w:p>
            <w:pPr>
              <w:widowControl/>
              <w:snapToGrid w:val="0"/>
              <w:jc w:val="center"/>
              <w:rPr>
                <w:b/>
                <w:bCs/>
                <w:color w:val="FFFFFF"/>
                <w:kern w:val="0"/>
                <w:szCs w:val="21"/>
              </w:rPr>
            </w:pPr>
            <w:r>
              <w:rPr>
                <w:b/>
                <w:bCs/>
                <w:color w:val="FFFFFF"/>
                <w:kern w:val="0"/>
                <w:szCs w:val="21"/>
              </w:rPr>
              <w:t>（小时）</w:t>
            </w:r>
          </w:p>
        </w:tc>
        <w:tc>
          <w:tcPr>
            <w:tcW w:w="1525" w:type="dxa"/>
            <w:shd w:val="clear" w:color="auto" w:fill="0F76BB"/>
            <w:noWrap w:val="0"/>
            <w:vAlign w:val="center"/>
          </w:tcPr>
          <w:p>
            <w:pPr>
              <w:widowControl/>
              <w:snapToGrid w:val="0"/>
              <w:jc w:val="center"/>
              <w:rPr>
                <w:b/>
                <w:bCs/>
                <w:color w:val="FFFFFF"/>
                <w:kern w:val="0"/>
                <w:szCs w:val="21"/>
              </w:rPr>
            </w:pPr>
            <w:r>
              <w:rPr>
                <w:b/>
                <w:bCs/>
                <w:color w:val="FFFFFF"/>
                <w:kern w:val="0"/>
                <w:szCs w:val="21"/>
              </w:rPr>
              <w:t>过程最高氯度值（</w:t>
            </w:r>
            <w:r>
              <w:rPr>
                <w:rFonts w:hint="eastAsia"/>
                <w:b/>
                <w:bCs/>
                <w:color w:val="FFFFFF"/>
                <w:kern w:val="0"/>
                <w:szCs w:val="21"/>
              </w:rPr>
              <w:t>毫克</w:t>
            </w:r>
            <w:r>
              <w:rPr>
                <w:b/>
                <w:bCs/>
                <w:color w:val="FFFFFF"/>
                <w:kern w:val="0"/>
                <w:szCs w:val="21"/>
              </w:rPr>
              <w:t>/</w:t>
            </w:r>
            <w:r>
              <w:rPr>
                <w:rFonts w:hint="eastAsia"/>
                <w:b/>
                <w:bCs/>
                <w:color w:val="FFFFFF"/>
                <w:kern w:val="0"/>
                <w:szCs w:val="21"/>
              </w:rPr>
              <w:t>升</w:t>
            </w:r>
            <w:r>
              <w:rPr>
                <w:b/>
                <w:bCs/>
                <w:color w:val="FFFFFF"/>
                <w:kern w:val="0"/>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tcBorders>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1</w:t>
            </w:r>
          </w:p>
        </w:tc>
        <w:tc>
          <w:tcPr>
            <w:tcW w:w="2898" w:type="dxa"/>
            <w:tcBorders>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1月3日-1月5日</w:t>
            </w:r>
          </w:p>
        </w:tc>
        <w:tc>
          <w:tcPr>
            <w:tcW w:w="2064"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南星水厂取水口</w:t>
            </w:r>
          </w:p>
        </w:tc>
        <w:tc>
          <w:tcPr>
            <w:tcW w:w="1417" w:type="dxa"/>
            <w:tcBorders>
              <w:left w:val="single" w:color="FFFFFF" w:sz="6" w:space="0"/>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lang w:val="en-US" w:eastAsia="zh-CN"/>
              </w:rPr>
              <w:t>41</w:t>
            </w:r>
            <w:r>
              <w:rPr>
                <w:rFonts w:hint="eastAsia"/>
                <w:szCs w:val="21"/>
              </w:rPr>
              <w:t>.00</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556</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restart"/>
            <w:shd w:val="clear" w:color="auto" w:fill="E2F4FD"/>
            <w:noWrap w:val="0"/>
            <w:vAlign w:val="center"/>
          </w:tcPr>
          <w:p>
            <w:pPr>
              <w:adjustRightInd w:val="0"/>
              <w:snapToGrid w:val="0"/>
              <w:jc w:val="center"/>
              <w:rPr>
                <w:rFonts w:hint="eastAsia"/>
                <w:szCs w:val="21"/>
              </w:rPr>
            </w:pPr>
            <w:r>
              <w:rPr>
                <w:rFonts w:hint="eastAsia"/>
                <w:szCs w:val="21"/>
              </w:rPr>
              <w:t>2</w:t>
            </w:r>
          </w:p>
        </w:tc>
        <w:tc>
          <w:tcPr>
            <w:tcW w:w="2898" w:type="dxa"/>
            <w:shd w:val="clear" w:color="auto" w:fill="E2F4FD"/>
            <w:noWrap w:val="0"/>
            <w:vAlign w:val="center"/>
          </w:tcPr>
          <w:p>
            <w:pPr>
              <w:adjustRightInd w:val="0"/>
              <w:snapToGrid w:val="0"/>
              <w:jc w:val="center"/>
              <w:rPr>
                <w:kern w:val="2"/>
                <w:sz w:val="21"/>
                <w:szCs w:val="21"/>
                <w:lang w:val="en-US" w:eastAsia="zh-CN" w:bidi="ar-SA"/>
              </w:rPr>
            </w:pPr>
            <w:r>
              <w:rPr>
                <w:rFonts w:hint="eastAsia"/>
                <w:szCs w:val="21"/>
              </w:rPr>
              <w:t>7月30日-8月4日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kern w:val="2"/>
                <w:sz w:val="21"/>
                <w:szCs w:val="21"/>
                <w:lang w:val="en-US" w:eastAsia="zh-CN" w:bidi="ar-SA"/>
              </w:rPr>
            </w:pPr>
            <w:r>
              <w:rPr>
                <w:rFonts w:hint="eastAsia"/>
                <w:szCs w:val="21"/>
              </w:rPr>
              <w:t>南星水厂取水口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rFonts w:hint="default" w:eastAsia="宋体"/>
                <w:kern w:val="2"/>
                <w:sz w:val="21"/>
                <w:szCs w:val="21"/>
                <w:lang w:val="en-US" w:eastAsia="zh-CN" w:bidi="ar-SA"/>
              </w:rPr>
            </w:pPr>
            <w:r>
              <w:rPr>
                <w:rFonts w:hint="eastAsia"/>
                <w:szCs w:val="21"/>
                <w:lang w:val="en-US" w:eastAsia="zh-CN"/>
              </w:rPr>
              <w:t>115.05</w:t>
            </w:r>
          </w:p>
        </w:tc>
        <w:tc>
          <w:tcPr>
            <w:tcW w:w="1525" w:type="dxa"/>
            <w:shd w:val="clear" w:color="auto" w:fill="E2F4FD"/>
            <w:noWrap w:val="0"/>
            <w:vAlign w:val="center"/>
          </w:tcPr>
          <w:p>
            <w:pPr>
              <w:adjustRightInd w:val="0"/>
              <w:snapToGrid w:val="0"/>
              <w:ind w:right="420" w:rightChars="200"/>
              <w:jc w:val="right"/>
              <w:rPr>
                <w:rFonts w:hint="default" w:eastAsia="宋体"/>
                <w:kern w:val="2"/>
                <w:sz w:val="21"/>
                <w:szCs w:val="21"/>
                <w:lang w:val="en-US" w:eastAsia="zh-CN" w:bidi="ar-SA"/>
              </w:rPr>
            </w:pPr>
            <w:r>
              <w:rPr>
                <w:rFonts w:hint="eastAsia"/>
                <w:szCs w:val="21"/>
                <w:lang w:val="en-US" w:eastAsia="zh-CN"/>
              </w:rPr>
              <w:t>970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E2F4FD"/>
            <w:noWrap w:val="0"/>
            <w:vAlign w:val="center"/>
          </w:tcPr>
          <w:p>
            <w:pPr>
              <w:adjustRightInd w:val="0"/>
              <w:snapToGrid w:val="0"/>
              <w:jc w:val="center"/>
            </w:pPr>
          </w:p>
        </w:tc>
        <w:tc>
          <w:tcPr>
            <w:tcW w:w="2898" w:type="dxa"/>
            <w:shd w:val="clear" w:color="auto" w:fill="E2F4FD"/>
            <w:noWrap w:val="0"/>
            <w:vAlign w:val="center"/>
          </w:tcPr>
          <w:p>
            <w:pPr>
              <w:adjustRightInd w:val="0"/>
              <w:snapToGrid w:val="0"/>
              <w:jc w:val="center"/>
              <w:rPr>
                <w:kern w:val="2"/>
                <w:sz w:val="21"/>
                <w:szCs w:val="21"/>
                <w:lang w:val="en-US" w:eastAsia="zh-CN" w:bidi="ar-SA"/>
              </w:rPr>
            </w:pPr>
            <w:r>
              <w:rPr>
                <w:rFonts w:hint="eastAsia"/>
                <w:szCs w:val="21"/>
              </w:rPr>
              <w:t>7月30日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kern w:val="2"/>
                <w:sz w:val="21"/>
                <w:szCs w:val="21"/>
                <w:lang w:val="en-US" w:eastAsia="zh-CN" w:bidi="ar-SA"/>
              </w:rPr>
            </w:pPr>
            <w:r>
              <w:rPr>
                <w:rFonts w:hint="eastAsia"/>
                <w:szCs w:val="21"/>
              </w:rPr>
              <w:t>白塔岭取水口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kern w:val="2"/>
                <w:sz w:val="21"/>
                <w:szCs w:val="21"/>
                <w:lang w:val="en-US" w:eastAsia="zh-CN" w:bidi="ar-SA"/>
              </w:rPr>
            </w:pPr>
            <w:r>
              <w:rPr>
                <w:rFonts w:hint="eastAsia"/>
                <w:szCs w:val="21"/>
              </w:rPr>
              <w:t>2.50</w:t>
            </w:r>
          </w:p>
        </w:tc>
        <w:tc>
          <w:tcPr>
            <w:tcW w:w="1525" w:type="dxa"/>
            <w:shd w:val="clear" w:color="auto" w:fill="E2F4FD"/>
            <w:noWrap w:val="0"/>
            <w:vAlign w:val="center"/>
          </w:tcPr>
          <w:p>
            <w:pPr>
              <w:adjustRightInd w:val="0"/>
              <w:snapToGrid w:val="0"/>
              <w:ind w:right="420" w:rightChars="200"/>
              <w:jc w:val="right"/>
              <w:rPr>
                <w:kern w:val="2"/>
                <w:sz w:val="21"/>
                <w:szCs w:val="21"/>
                <w:lang w:val="en-US" w:eastAsia="zh-CN" w:bidi="ar-SA"/>
              </w:rPr>
            </w:pPr>
            <w:r>
              <w:rPr>
                <w:rFonts w:hint="eastAsia"/>
                <w:szCs w:val="21"/>
              </w:rPr>
              <w:t>295</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restart"/>
            <w:shd w:val="clear" w:color="auto" w:fill="B9E6FB"/>
            <w:noWrap w:val="0"/>
            <w:vAlign w:val="center"/>
          </w:tcPr>
          <w:p>
            <w:pPr>
              <w:adjustRightInd w:val="0"/>
              <w:snapToGrid w:val="0"/>
              <w:jc w:val="center"/>
              <w:rPr>
                <w:rFonts w:hint="eastAsia" w:eastAsia="宋体"/>
                <w:szCs w:val="21"/>
                <w:lang w:eastAsia="zh-CN"/>
              </w:rPr>
            </w:pPr>
            <w:r>
              <w:rPr>
                <w:rFonts w:hint="eastAsia"/>
                <w:szCs w:val="21"/>
                <w:lang w:val="en-US" w:eastAsia="zh-CN"/>
              </w:rPr>
              <w:t>3</w:t>
            </w:r>
          </w:p>
        </w:tc>
        <w:tc>
          <w:tcPr>
            <w:tcW w:w="2898" w:type="dxa"/>
            <w:tcBorders>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8月12日-8月19日</w:t>
            </w:r>
          </w:p>
        </w:tc>
        <w:tc>
          <w:tcPr>
            <w:tcW w:w="2064"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南星水厂取水口</w:t>
            </w:r>
          </w:p>
        </w:tc>
        <w:tc>
          <w:tcPr>
            <w:tcW w:w="1417" w:type="dxa"/>
            <w:tcBorders>
              <w:left w:val="single" w:color="FFFFFF" w:sz="6" w:space="0"/>
              <w:bottom w:val="single" w:color="FFFFFF" w:sz="6" w:space="0"/>
            </w:tcBorders>
            <w:shd w:val="clear" w:color="auto" w:fill="B9E6FB"/>
            <w:noWrap w:val="0"/>
            <w:vAlign w:val="center"/>
          </w:tcPr>
          <w:p>
            <w:pPr>
              <w:adjustRightInd w:val="0"/>
              <w:snapToGrid w:val="0"/>
              <w:ind w:right="420" w:rightChars="200"/>
              <w:jc w:val="right"/>
              <w:rPr>
                <w:rFonts w:hint="default" w:eastAsia="宋体"/>
                <w:szCs w:val="21"/>
                <w:lang w:val="en-US" w:eastAsia="zh-CN"/>
              </w:rPr>
            </w:pPr>
            <w:r>
              <w:rPr>
                <w:rFonts w:hint="eastAsia"/>
                <w:szCs w:val="21"/>
                <w:lang w:val="en-US" w:eastAsia="zh-CN"/>
              </w:rPr>
              <w:t>175.00</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1 200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tcBorders>
              <w:bottom w:val="single" w:color="FFFFFF" w:sz="6" w:space="0"/>
            </w:tcBorders>
            <w:shd w:val="clear" w:color="auto" w:fill="B9E6FB"/>
            <w:noWrap w:val="0"/>
            <w:vAlign w:val="center"/>
          </w:tcPr>
          <w:p>
            <w:pPr>
              <w:adjustRightInd w:val="0"/>
              <w:snapToGrid w:val="0"/>
              <w:jc w:val="center"/>
              <w:rPr>
                <w:rFonts w:hint="eastAsia"/>
                <w:szCs w:val="21"/>
              </w:rPr>
            </w:pPr>
          </w:p>
        </w:tc>
        <w:tc>
          <w:tcPr>
            <w:tcW w:w="2898" w:type="dxa"/>
            <w:tcBorders>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8月12日-8月16日</w:t>
            </w:r>
          </w:p>
        </w:tc>
        <w:tc>
          <w:tcPr>
            <w:tcW w:w="2064"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白塔岭取水口</w:t>
            </w:r>
          </w:p>
        </w:tc>
        <w:tc>
          <w:tcPr>
            <w:tcW w:w="1417" w:type="dxa"/>
            <w:tcBorders>
              <w:left w:val="single" w:color="FFFFFF" w:sz="6" w:space="0"/>
              <w:bottom w:val="single" w:color="FFFFFF" w:sz="6" w:space="0"/>
            </w:tcBorders>
            <w:shd w:val="clear" w:color="auto" w:fill="B9E6FB"/>
            <w:noWrap w:val="0"/>
            <w:vAlign w:val="center"/>
          </w:tcPr>
          <w:p>
            <w:pPr>
              <w:adjustRightInd w:val="0"/>
              <w:snapToGrid w:val="0"/>
              <w:ind w:right="420" w:rightChars="200"/>
              <w:jc w:val="right"/>
              <w:rPr>
                <w:rFonts w:hint="default" w:eastAsia="宋体"/>
                <w:szCs w:val="21"/>
                <w:lang w:val="en-US" w:eastAsia="zh-CN"/>
              </w:rPr>
            </w:pPr>
            <w:r>
              <w:rPr>
                <w:rFonts w:hint="eastAsia"/>
                <w:szCs w:val="21"/>
                <w:lang w:val="en-US" w:eastAsia="zh-CN"/>
              </w:rPr>
              <w:t>44.43</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rFonts w:hint="default" w:eastAsia="宋体"/>
                <w:szCs w:val="21"/>
                <w:lang w:val="en-US" w:eastAsia="zh-CN"/>
              </w:rPr>
            </w:pPr>
            <w:r>
              <w:rPr>
                <w:rFonts w:hint="eastAsia"/>
                <w:szCs w:val="21"/>
                <w:lang w:val="en-US" w:eastAsia="zh-CN"/>
              </w:rPr>
              <w:t>624</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restart"/>
            <w:shd w:val="clear" w:color="auto" w:fill="E2F4FD"/>
            <w:noWrap w:val="0"/>
            <w:vAlign w:val="center"/>
          </w:tcPr>
          <w:p>
            <w:pPr>
              <w:adjustRightInd w:val="0"/>
              <w:snapToGrid w:val="0"/>
              <w:jc w:val="center"/>
              <w:rPr>
                <w:rFonts w:hint="eastAsia" w:eastAsia="宋体"/>
                <w:szCs w:val="21"/>
                <w:lang w:eastAsia="zh-CN"/>
              </w:rPr>
            </w:pPr>
            <w:r>
              <w:rPr>
                <w:rFonts w:hint="eastAsia"/>
                <w:szCs w:val="21"/>
                <w:lang w:val="en-US" w:eastAsia="zh-CN"/>
              </w:rPr>
              <w:t>4</w:t>
            </w:r>
          </w:p>
        </w:tc>
        <w:tc>
          <w:tcPr>
            <w:tcW w:w="2898" w:type="dxa"/>
            <w:shd w:val="clear" w:color="auto" w:fill="E2F4FD"/>
            <w:noWrap w:val="0"/>
            <w:vAlign w:val="center"/>
          </w:tcPr>
          <w:p>
            <w:pPr>
              <w:adjustRightInd w:val="0"/>
              <w:snapToGrid w:val="0"/>
              <w:jc w:val="center"/>
              <w:rPr>
                <w:rFonts w:hint="eastAsia"/>
                <w:kern w:val="2"/>
                <w:sz w:val="21"/>
                <w:szCs w:val="21"/>
                <w:lang w:val="en-US" w:eastAsia="zh-CN" w:bidi="ar-SA"/>
              </w:rPr>
            </w:pPr>
            <w:r>
              <w:rPr>
                <w:rFonts w:hint="eastAsia"/>
                <w:szCs w:val="21"/>
              </w:rPr>
              <w:t>9月10日-9月15日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kern w:val="2"/>
                <w:sz w:val="21"/>
                <w:szCs w:val="21"/>
                <w:lang w:val="en-US" w:eastAsia="zh-CN" w:bidi="ar-SA"/>
              </w:rPr>
            </w:pPr>
            <w:r>
              <w:rPr>
                <w:rFonts w:hint="eastAsia"/>
                <w:szCs w:val="21"/>
              </w:rPr>
              <w:t>南星水厂取水口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kern w:val="2"/>
                <w:sz w:val="21"/>
                <w:szCs w:val="21"/>
                <w:lang w:val="en-US" w:eastAsia="zh-CN" w:bidi="ar-SA"/>
              </w:rPr>
            </w:pPr>
            <w:r>
              <w:rPr>
                <w:rFonts w:hint="eastAsia"/>
                <w:szCs w:val="21"/>
              </w:rPr>
              <w:t>130.75</w:t>
            </w:r>
          </w:p>
        </w:tc>
        <w:tc>
          <w:tcPr>
            <w:tcW w:w="1525" w:type="dxa"/>
            <w:shd w:val="clear" w:color="auto" w:fill="E2F4FD"/>
            <w:noWrap w:val="0"/>
            <w:vAlign w:val="center"/>
          </w:tcPr>
          <w:p>
            <w:pPr>
              <w:adjustRightInd w:val="0"/>
              <w:snapToGrid w:val="0"/>
              <w:ind w:right="420" w:rightChars="200"/>
              <w:jc w:val="right"/>
              <w:rPr>
                <w:kern w:val="2"/>
                <w:sz w:val="21"/>
                <w:szCs w:val="21"/>
                <w:lang w:val="en-US" w:eastAsia="zh-CN" w:bidi="ar-SA"/>
              </w:rPr>
            </w:pPr>
            <w:r>
              <w:rPr>
                <w:rFonts w:hint="eastAsia"/>
                <w:szCs w:val="21"/>
              </w:rPr>
              <w:t>1 800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E2F4FD"/>
            <w:noWrap w:val="0"/>
            <w:vAlign w:val="center"/>
          </w:tcPr>
          <w:p>
            <w:pPr>
              <w:adjustRightInd w:val="0"/>
              <w:snapToGrid w:val="0"/>
              <w:jc w:val="center"/>
            </w:pPr>
          </w:p>
        </w:tc>
        <w:tc>
          <w:tcPr>
            <w:tcW w:w="2898" w:type="dxa"/>
            <w:shd w:val="clear" w:color="auto" w:fill="E2F4FD"/>
            <w:noWrap w:val="0"/>
            <w:vAlign w:val="center"/>
          </w:tcPr>
          <w:p>
            <w:pPr>
              <w:adjustRightInd w:val="0"/>
              <w:snapToGrid w:val="0"/>
              <w:jc w:val="center"/>
              <w:rPr>
                <w:rFonts w:hint="eastAsia"/>
                <w:kern w:val="2"/>
                <w:sz w:val="21"/>
                <w:szCs w:val="21"/>
                <w:lang w:val="en-US" w:eastAsia="zh-CN" w:bidi="ar-SA"/>
              </w:rPr>
            </w:pPr>
            <w:r>
              <w:rPr>
                <w:rFonts w:hint="eastAsia"/>
                <w:szCs w:val="21"/>
              </w:rPr>
              <w:t>9月11日-9月15日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kern w:val="2"/>
                <w:sz w:val="21"/>
                <w:szCs w:val="21"/>
                <w:lang w:val="en-US" w:eastAsia="zh-CN" w:bidi="ar-SA"/>
              </w:rPr>
            </w:pPr>
            <w:r>
              <w:rPr>
                <w:rFonts w:hint="eastAsia"/>
                <w:szCs w:val="21"/>
              </w:rPr>
              <w:t>白塔岭取水口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rFonts w:hint="eastAsia"/>
                <w:kern w:val="2"/>
                <w:sz w:val="21"/>
                <w:szCs w:val="21"/>
                <w:lang w:val="en-US" w:eastAsia="zh-CN" w:bidi="ar-SA"/>
              </w:rPr>
            </w:pPr>
            <w:r>
              <w:rPr>
                <w:rFonts w:hint="eastAsia"/>
                <w:szCs w:val="21"/>
              </w:rPr>
              <w:t>91.83</w:t>
            </w:r>
          </w:p>
        </w:tc>
        <w:tc>
          <w:tcPr>
            <w:tcW w:w="1525" w:type="dxa"/>
            <w:shd w:val="clear" w:color="auto" w:fill="E2F4FD"/>
            <w:noWrap w:val="0"/>
            <w:vAlign w:val="center"/>
          </w:tcPr>
          <w:p>
            <w:pPr>
              <w:adjustRightInd w:val="0"/>
              <w:snapToGrid w:val="0"/>
              <w:ind w:right="420" w:rightChars="200"/>
              <w:jc w:val="right"/>
              <w:rPr>
                <w:rFonts w:hint="eastAsia"/>
                <w:kern w:val="2"/>
                <w:sz w:val="21"/>
                <w:szCs w:val="21"/>
                <w:lang w:val="en-US" w:eastAsia="zh-CN" w:bidi="ar-SA"/>
              </w:rPr>
            </w:pPr>
            <w:r>
              <w:rPr>
                <w:rFonts w:hint="eastAsia"/>
                <w:szCs w:val="21"/>
              </w:rPr>
              <w:t>1 110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E2F4FD"/>
            <w:noWrap w:val="0"/>
            <w:vAlign w:val="center"/>
          </w:tcPr>
          <w:p>
            <w:pPr>
              <w:adjustRightInd w:val="0"/>
              <w:snapToGrid w:val="0"/>
              <w:jc w:val="center"/>
              <w:rPr>
                <w:rFonts w:hint="eastAsia"/>
                <w:szCs w:val="21"/>
              </w:rPr>
            </w:pPr>
          </w:p>
        </w:tc>
        <w:tc>
          <w:tcPr>
            <w:tcW w:w="2898" w:type="dxa"/>
            <w:shd w:val="clear" w:color="auto" w:fill="E2F4FD"/>
            <w:noWrap w:val="0"/>
            <w:vAlign w:val="center"/>
          </w:tcPr>
          <w:p>
            <w:pPr>
              <w:adjustRightInd w:val="0"/>
              <w:snapToGrid w:val="0"/>
              <w:jc w:val="center"/>
              <w:rPr>
                <w:kern w:val="2"/>
                <w:sz w:val="21"/>
                <w:szCs w:val="21"/>
                <w:lang w:val="en-US" w:eastAsia="zh-CN" w:bidi="ar-SA"/>
              </w:rPr>
            </w:pPr>
            <w:r>
              <w:rPr>
                <w:rFonts w:hint="eastAsia"/>
                <w:szCs w:val="21"/>
              </w:rPr>
              <w:t>9月11日-9月14日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kern w:val="2"/>
                <w:sz w:val="21"/>
                <w:szCs w:val="21"/>
                <w:lang w:val="en-US" w:eastAsia="zh-CN" w:bidi="ar-SA"/>
              </w:rPr>
            </w:pPr>
            <w:r>
              <w:rPr>
                <w:rFonts w:hint="eastAsia"/>
                <w:szCs w:val="21"/>
              </w:rPr>
              <w:t>九溪取水口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kern w:val="2"/>
                <w:sz w:val="21"/>
                <w:szCs w:val="21"/>
                <w:lang w:val="en-US" w:eastAsia="zh-CN" w:bidi="ar-SA"/>
              </w:rPr>
            </w:pPr>
            <w:r>
              <w:rPr>
                <w:rFonts w:hint="eastAsia"/>
                <w:szCs w:val="21"/>
              </w:rPr>
              <w:t>81.75</w:t>
            </w:r>
          </w:p>
        </w:tc>
        <w:tc>
          <w:tcPr>
            <w:tcW w:w="1525" w:type="dxa"/>
            <w:shd w:val="clear" w:color="auto" w:fill="E2F4FD"/>
            <w:noWrap w:val="0"/>
            <w:vAlign w:val="center"/>
          </w:tcPr>
          <w:p>
            <w:pPr>
              <w:adjustRightInd w:val="0"/>
              <w:snapToGrid w:val="0"/>
              <w:ind w:right="420" w:rightChars="200"/>
              <w:jc w:val="right"/>
              <w:rPr>
                <w:kern w:val="2"/>
                <w:sz w:val="21"/>
                <w:szCs w:val="21"/>
                <w:lang w:val="en-US" w:eastAsia="zh-CN" w:bidi="ar-SA"/>
              </w:rPr>
            </w:pPr>
            <w:r>
              <w:rPr>
                <w:rFonts w:hint="eastAsia"/>
                <w:szCs w:val="21"/>
              </w:rPr>
              <w:t>707</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restart"/>
            <w:shd w:val="clear" w:color="auto" w:fill="B9E6FB"/>
            <w:noWrap w:val="0"/>
            <w:vAlign w:val="center"/>
          </w:tcPr>
          <w:p>
            <w:pPr>
              <w:adjustRightInd w:val="0"/>
              <w:snapToGrid w:val="0"/>
              <w:jc w:val="center"/>
              <w:rPr>
                <w:rFonts w:hint="eastAsia" w:eastAsia="宋体"/>
                <w:szCs w:val="21"/>
                <w:lang w:eastAsia="zh-CN"/>
              </w:rPr>
            </w:pPr>
            <w:r>
              <w:rPr>
                <w:rFonts w:hint="eastAsia"/>
                <w:szCs w:val="21"/>
                <w:lang w:val="en-US" w:eastAsia="zh-CN"/>
              </w:rPr>
              <w:t>5</w:t>
            </w:r>
          </w:p>
        </w:tc>
        <w:tc>
          <w:tcPr>
            <w:tcW w:w="2898" w:type="dxa"/>
            <w:tcBorders>
              <w:bottom w:val="single" w:color="FFFFFF" w:sz="6" w:space="0"/>
            </w:tcBorders>
            <w:shd w:val="clear" w:color="auto" w:fill="B9E6FB"/>
            <w:noWrap w:val="0"/>
            <w:vAlign w:val="center"/>
          </w:tcPr>
          <w:p>
            <w:pPr>
              <w:adjustRightInd w:val="0"/>
              <w:snapToGrid w:val="0"/>
              <w:jc w:val="center"/>
              <w:rPr>
                <w:szCs w:val="21"/>
              </w:rPr>
            </w:pPr>
            <w:r>
              <w:rPr>
                <w:rFonts w:hint="eastAsia"/>
                <w:szCs w:val="21"/>
              </w:rPr>
              <w:t>9月25日-10月8日</w:t>
            </w:r>
          </w:p>
        </w:tc>
        <w:tc>
          <w:tcPr>
            <w:tcW w:w="2064"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南星水厂取水口</w:t>
            </w:r>
          </w:p>
        </w:tc>
        <w:tc>
          <w:tcPr>
            <w:tcW w:w="1417" w:type="dxa"/>
            <w:tcBorders>
              <w:left w:val="single" w:color="FFFFFF" w:sz="6" w:space="0"/>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297.50</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1 500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B9E6FB"/>
            <w:noWrap w:val="0"/>
            <w:vAlign w:val="center"/>
          </w:tcPr>
          <w:p>
            <w:pPr>
              <w:adjustRightInd w:val="0"/>
              <w:snapToGrid w:val="0"/>
              <w:jc w:val="center"/>
              <w:rPr>
                <w:rFonts w:hint="eastAsia"/>
                <w:szCs w:val="21"/>
              </w:rPr>
            </w:pPr>
          </w:p>
        </w:tc>
        <w:tc>
          <w:tcPr>
            <w:tcW w:w="2898" w:type="dxa"/>
            <w:shd w:val="clear" w:color="auto" w:fill="B9E6FB"/>
            <w:noWrap w:val="0"/>
            <w:vAlign w:val="center"/>
          </w:tcPr>
          <w:p>
            <w:pPr>
              <w:adjustRightInd w:val="0"/>
              <w:snapToGrid w:val="0"/>
              <w:jc w:val="center"/>
              <w:rPr>
                <w:szCs w:val="21"/>
              </w:rPr>
            </w:pPr>
            <w:r>
              <w:rPr>
                <w:rFonts w:hint="eastAsia"/>
                <w:szCs w:val="21"/>
              </w:rPr>
              <w:t>9月26日-10月2日</w:t>
            </w:r>
          </w:p>
        </w:tc>
        <w:tc>
          <w:tcPr>
            <w:tcW w:w="2064" w:type="dxa"/>
            <w:tcBorders>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白塔岭取水口</w:t>
            </w:r>
          </w:p>
        </w:tc>
        <w:tc>
          <w:tcPr>
            <w:tcW w:w="1417" w:type="dxa"/>
            <w:tcBorders>
              <w:left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116.35</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567</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B9E6FB"/>
            <w:noWrap w:val="0"/>
            <w:vAlign w:val="center"/>
          </w:tcPr>
          <w:p>
            <w:pPr>
              <w:adjustRightInd w:val="0"/>
              <w:snapToGrid w:val="0"/>
              <w:jc w:val="center"/>
              <w:rPr>
                <w:rFonts w:hint="eastAsia"/>
                <w:szCs w:val="21"/>
              </w:rPr>
            </w:pPr>
          </w:p>
        </w:tc>
        <w:tc>
          <w:tcPr>
            <w:tcW w:w="2898" w:type="dxa"/>
            <w:shd w:val="clear" w:color="auto" w:fill="B9E6FB"/>
            <w:noWrap w:val="0"/>
            <w:vAlign w:val="center"/>
          </w:tcPr>
          <w:p>
            <w:pPr>
              <w:adjustRightInd w:val="0"/>
              <w:snapToGrid w:val="0"/>
              <w:jc w:val="center"/>
              <w:rPr>
                <w:szCs w:val="21"/>
              </w:rPr>
            </w:pPr>
            <w:r>
              <w:rPr>
                <w:rFonts w:hint="eastAsia"/>
                <w:szCs w:val="21"/>
              </w:rPr>
              <w:t>9月28日-9月29日</w:t>
            </w:r>
          </w:p>
        </w:tc>
        <w:tc>
          <w:tcPr>
            <w:tcW w:w="2064" w:type="dxa"/>
            <w:tcBorders>
              <w:right w:val="single" w:color="FFFFFF" w:sz="6" w:space="0"/>
            </w:tcBorders>
            <w:shd w:val="clear" w:color="auto" w:fill="B9E6FB"/>
            <w:noWrap w:val="0"/>
            <w:vAlign w:val="center"/>
          </w:tcPr>
          <w:p>
            <w:pPr>
              <w:adjustRightInd w:val="0"/>
              <w:snapToGrid w:val="0"/>
              <w:jc w:val="center"/>
              <w:rPr>
                <w:szCs w:val="21"/>
              </w:rPr>
            </w:pPr>
            <w:r>
              <w:rPr>
                <w:rFonts w:hint="eastAsia"/>
                <w:szCs w:val="21"/>
              </w:rPr>
              <w:t>九溪取水口</w:t>
            </w:r>
          </w:p>
        </w:tc>
        <w:tc>
          <w:tcPr>
            <w:tcW w:w="1417" w:type="dxa"/>
            <w:tcBorders>
              <w:left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9.25</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310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restart"/>
            <w:shd w:val="clear" w:color="auto" w:fill="E2F4FD"/>
            <w:noWrap w:val="0"/>
            <w:vAlign w:val="center"/>
          </w:tcPr>
          <w:p>
            <w:pPr>
              <w:adjustRightInd w:val="0"/>
              <w:snapToGrid w:val="0"/>
              <w:jc w:val="center"/>
              <w:rPr>
                <w:rFonts w:hint="eastAsia" w:eastAsia="宋体"/>
                <w:szCs w:val="21"/>
                <w:lang w:eastAsia="zh-CN"/>
              </w:rPr>
            </w:pPr>
            <w:r>
              <w:rPr>
                <w:rFonts w:hint="eastAsia"/>
                <w:szCs w:val="21"/>
                <w:lang w:val="en-US" w:eastAsia="zh-CN"/>
              </w:rPr>
              <w:t>6</w:t>
            </w:r>
          </w:p>
        </w:tc>
        <w:tc>
          <w:tcPr>
            <w:tcW w:w="2898" w:type="dxa"/>
            <w:shd w:val="clear" w:color="auto" w:fill="E2F4FD"/>
            <w:noWrap w:val="0"/>
            <w:vAlign w:val="center"/>
          </w:tcPr>
          <w:p>
            <w:pPr>
              <w:adjustRightInd w:val="0"/>
              <w:snapToGrid w:val="0"/>
              <w:jc w:val="center"/>
              <w:rPr>
                <w:rFonts w:hint="eastAsia"/>
                <w:szCs w:val="21"/>
              </w:rPr>
            </w:pPr>
            <w:r>
              <w:rPr>
                <w:rFonts w:hint="eastAsia"/>
                <w:szCs w:val="21"/>
              </w:rPr>
              <w:t>10月24日-11月4日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南星水厂取水口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szCs w:val="21"/>
              </w:rPr>
            </w:pPr>
            <w:r>
              <w:rPr>
                <w:rFonts w:hint="eastAsia"/>
                <w:szCs w:val="21"/>
              </w:rPr>
              <w:t>259.50</w:t>
            </w:r>
          </w:p>
        </w:tc>
        <w:tc>
          <w:tcPr>
            <w:tcW w:w="1525" w:type="dxa"/>
            <w:shd w:val="clear" w:color="auto" w:fill="E2F4FD"/>
            <w:noWrap w:val="0"/>
            <w:vAlign w:val="center"/>
          </w:tcPr>
          <w:p>
            <w:pPr>
              <w:adjustRightInd w:val="0"/>
              <w:snapToGrid w:val="0"/>
              <w:ind w:right="420" w:rightChars="200"/>
              <w:jc w:val="right"/>
              <w:rPr>
                <w:szCs w:val="21"/>
              </w:rPr>
            </w:pPr>
            <w:r>
              <w:rPr>
                <w:rFonts w:hint="eastAsia"/>
                <w:szCs w:val="21"/>
              </w:rPr>
              <w:t>6 500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E2F4FD"/>
            <w:noWrap w:val="0"/>
            <w:vAlign w:val="center"/>
          </w:tcPr>
          <w:p>
            <w:pPr>
              <w:adjustRightInd w:val="0"/>
              <w:snapToGrid w:val="0"/>
              <w:jc w:val="center"/>
              <w:rPr>
                <w:rFonts w:hint="eastAsia"/>
                <w:szCs w:val="21"/>
              </w:rPr>
            </w:pPr>
          </w:p>
        </w:tc>
        <w:tc>
          <w:tcPr>
            <w:tcW w:w="2898" w:type="dxa"/>
            <w:shd w:val="clear" w:color="auto" w:fill="E2F4FD"/>
            <w:noWrap w:val="0"/>
            <w:vAlign w:val="center"/>
          </w:tcPr>
          <w:p>
            <w:pPr>
              <w:adjustRightInd w:val="0"/>
              <w:snapToGrid w:val="0"/>
              <w:jc w:val="center"/>
              <w:rPr>
                <w:rFonts w:hint="eastAsia"/>
                <w:szCs w:val="21"/>
              </w:rPr>
            </w:pPr>
            <w:r>
              <w:rPr>
                <w:rFonts w:hint="eastAsia"/>
                <w:szCs w:val="21"/>
              </w:rPr>
              <w:t>10月25日-11月2日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白塔岭取水口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szCs w:val="21"/>
              </w:rPr>
            </w:pPr>
            <w:r>
              <w:rPr>
                <w:rFonts w:hint="eastAsia"/>
                <w:szCs w:val="21"/>
              </w:rPr>
              <w:t>199.75</w:t>
            </w:r>
          </w:p>
        </w:tc>
        <w:tc>
          <w:tcPr>
            <w:tcW w:w="1525" w:type="dxa"/>
            <w:shd w:val="clear" w:color="auto" w:fill="E2F4FD"/>
            <w:noWrap w:val="0"/>
            <w:vAlign w:val="center"/>
          </w:tcPr>
          <w:p>
            <w:pPr>
              <w:adjustRightInd w:val="0"/>
              <w:snapToGrid w:val="0"/>
              <w:ind w:right="420" w:rightChars="200"/>
              <w:jc w:val="right"/>
              <w:rPr>
                <w:szCs w:val="21"/>
              </w:rPr>
            </w:pPr>
            <w:r>
              <w:rPr>
                <w:rFonts w:hint="eastAsia"/>
                <w:szCs w:val="21"/>
              </w:rPr>
              <w:t>4 500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E2F4FD"/>
            <w:noWrap w:val="0"/>
            <w:vAlign w:val="center"/>
          </w:tcPr>
          <w:p>
            <w:pPr>
              <w:adjustRightInd w:val="0"/>
              <w:snapToGrid w:val="0"/>
              <w:jc w:val="center"/>
              <w:rPr>
                <w:rFonts w:hint="eastAsia"/>
                <w:szCs w:val="21"/>
              </w:rPr>
            </w:pPr>
          </w:p>
        </w:tc>
        <w:tc>
          <w:tcPr>
            <w:tcW w:w="2898" w:type="dxa"/>
            <w:shd w:val="clear" w:color="auto" w:fill="E2F4FD"/>
            <w:noWrap w:val="0"/>
            <w:vAlign w:val="center"/>
          </w:tcPr>
          <w:p>
            <w:pPr>
              <w:adjustRightInd w:val="0"/>
              <w:snapToGrid w:val="0"/>
              <w:jc w:val="center"/>
              <w:rPr>
                <w:rFonts w:hint="eastAsia"/>
                <w:szCs w:val="21"/>
              </w:rPr>
            </w:pPr>
            <w:r>
              <w:rPr>
                <w:rFonts w:hint="eastAsia"/>
                <w:szCs w:val="21"/>
              </w:rPr>
              <w:t>10月25日-11月2日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九溪取水口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szCs w:val="21"/>
              </w:rPr>
            </w:pPr>
            <w:r>
              <w:rPr>
                <w:rFonts w:hint="eastAsia"/>
                <w:szCs w:val="21"/>
              </w:rPr>
              <w:t>197.58</w:t>
            </w:r>
          </w:p>
        </w:tc>
        <w:tc>
          <w:tcPr>
            <w:tcW w:w="1525" w:type="dxa"/>
            <w:shd w:val="clear" w:color="auto" w:fill="E2F4FD"/>
            <w:noWrap w:val="0"/>
            <w:vAlign w:val="center"/>
          </w:tcPr>
          <w:p>
            <w:pPr>
              <w:adjustRightInd w:val="0"/>
              <w:snapToGrid w:val="0"/>
              <w:ind w:right="420" w:rightChars="200"/>
              <w:jc w:val="right"/>
              <w:rPr>
                <w:szCs w:val="21"/>
              </w:rPr>
            </w:pPr>
            <w:r>
              <w:rPr>
                <w:rFonts w:hint="eastAsia"/>
                <w:szCs w:val="21"/>
              </w:rPr>
              <w:t>2 150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restart"/>
            <w:shd w:val="clear" w:color="auto" w:fill="B9E6FB"/>
            <w:noWrap w:val="0"/>
            <w:vAlign w:val="center"/>
          </w:tcPr>
          <w:p>
            <w:pPr>
              <w:adjustRightInd w:val="0"/>
              <w:snapToGrid w:val="0"/>
              <w:jc w:val="center"/>
              <w:rPr>
                <w:rFonts w:hint="eastAsia" w:eastAsia="宋体"/>
                <w:szCs w:val="21"/>
                <w:lang w:eastAsia="zh-CN"/>
              </w:rPr>
            </w:pPr>
            <w:r>
              <w:rPr>
                <w:rFonts w:hint="eastAsia"/>
                <w:szCs w:val="21"/>
                <w:lang w:val="en-US" w:eastAsia="zh-CN"/>
              </w:rPr>
              <w:t>7</w:t>
            </w:r>
          </w:p>
        </w:tc>
        <w:tc>
          <w:tcPr>
            <w:tcW w:w="2898" w:type="dxa"/>
            <w:tcBorders>
              <w:bottom w:val="single" w:color="FFFFFF" w:sz="6" w:space="0"/>
            </w:tcBorders>
            <w:shd w:val="clear" w:color="auto" w:fill="B9E6FB"/>
            <w:noWrap w:val="0"/>
            <w:vAlign w:val="center"/>
          </w:tcPr>
          <w:p>
            <w:pPr>
              <w:adjustRightInd w:val="0"/>
              <w:snapToGrid w:val="0"/>
              <w:jc w:val="center"/>
              <w:rPr>
                <w:szCs w:val="21"/>
              </w:rPr>
            </w:pPr>
            <w:r>
              <w:rPr>
                <w:rFonts w:hint="eastAsia"/>
                <w:szCs w:val="21"/>
              </w:rPr>
              <w:t>11月7日-11月13日</w:t>
            </w:r>
          </w:p>
        </w:tc>
        <w:tc>
          <w:tcPr>
            <w:tcW w:w="2064"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南星水厂取水口</w:t>
            </w:r>
          </w:p>
        </w:tc>
        <w:tc>
          <w:tcPr>
            <w:tcW w:w="1417" w:type="dxa"/>
            <w:tcBorders>
              <w:left w:val="single" w:color="FFFFFF" w:sz="6" w:space="0"/>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1</w:t>
            </w:r>
            <w:r>
              <w:rPr>
                <w:rFonts w:hint="eastAsia"/>
                <w:szCs w:val="21"/>
                <w:lang w:val="en-US" w:eastAsia="zh-CN"/>
              </w:rPr>
              <w:t>40</w:t>
            </w:r>
            <w:r>
              <w:rPr>
                <w:rFonts w:hint="eastAsia"/>
                <w:szCs w:val="21"/>
              </w:rPr>
              <w:t>.50</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2 300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B9E6FB"/>
            <w:noWrap w:val="0"/>
            <w:vAlign w:val="center"/>
          </w:tcPr>
          <w:p>
            <w:pPr>
              <w:adjustRightInd w:val="0"/>
              <w:snapToGrid w:val="0"/>
              <w:jc w:val="center"/>
              <w:rPr>
                <w:rFonts w:hint="eastAsia"/>
                <w:szCs w:val="21"/>
              </w:rPr>
            </w:pPr>
          </w:p>
        </w:tc>
        <w:tc>
          <w:tcPr>
            <w:tcW w:w="2898" w:type="dxa"/>
            <w:tcBorders>
              <w:bottom w:val="single" w:color="FFFFFF" w:sz="6" w:space="0"/>
            </w:tcBorders>
            <w:shd w:val="clear" w:color="auto" w:fill="B9E6FB"/>
            <w:noWrap w:val="0"/>
            <w:vAlign w:val="center"/>
          </w:tcPr>
          <w:p>
            <w:pPr>
              <w:adjustRightInd w:val="0"/>
              <w:snapToGrid w:val="0"/>
              <w:jc w:val="center"/>
              <w:rPr>
                <w:szCs w:val="21"/>
              </w:rPr>
            </w:pPr>
            <w:r>
              <w:rPr>
                <w:rFonts w:hint="eastAsia"/>
                <w:szCs w:val="21"/>
              </w:rPr>
              <w:t>11月7日-11月12日</w:t>
            </w:r>
          </w:p>
        </w:tc>
        <w:tc>
          <w:tcPr>
            <w:tcW w:w="2064"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白塔岭取水口</w:t>
            </w:r>
          </w:p>
        </w:tc>
        <w:tc>
          <w:tcPr>
            <w:tcW w:w="1417" w:type="dxa"/>
            <w:tcBorders>
              <w:left w:val="single" w:color="FFFFFF" w:sz="6" w:space="0"/>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62.17</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522</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tcBorders>
              <w:bottom w:val="single" w:color="FFFFFF" w:sz="6" w:space="0"/>
            </w:tcBorders>
            <w:shd w:val="clear" w:color="auto" w:fill="B9E6FB"/>
            <w:noWrap w:val="0"/>
            <w:vAlign w:val="center"/>
          </w:tcPr>
          <w:p>
            <w:pPr>
              <w:adjustRightInd w:val="0"/>
              <w:snapToGrid w:val="0"/>
              <w:jc w:val="center"/>
              <w:rPr>
                <w:rFonts w:hint="eastAsia"/>
                <w:szCs w:val="21"/>
              </w:rPr>
            </w:pPr>
          </w:p>
        </w:tc>
        <w:tc>
          <w:tcPr>
            <w:tcW w:w="2898" w:type="dxa"/>
            <w:tcBorders>
              <w:bottom w:val="single" w:color="FFFFFF" w:sz="6" w:space="0"/>
            </w:tcBorders>
            <w:shd w:val="clear" w:color="auto" w:fill="B9E6FB"/>
            <w:noWrap w:val="0"/>
            <w:vAlign w:val="center"/>
          </w:tcPr>
          <w:p>
            <w:pPr>
              <w:adjustRightInd w:val="0"/>
              <w:snapToGrid w:val="0"/>
              <w:jc w:val="center"/>
              <w:rPr>
                <w:szCs w:val="21"/>
              </w:rPr>
            </w:pPr>
            <w:r>
              <w:rPr>
                <w:rFonts w:hint="eastAsia"/>
                <w:szCs w:val="21"/>
              </w:rPr>
              <w:t>11月9日</w:t>
            </w:r>
          </w:p>
        </w:tc>
        <w:tc>
          <w:tcPr>
            <w:tcW w:w="2064"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九溪取水口</w:t>
            </w:r>
          </w:p>
        </w:tc>
        <w:tc>
          <w:tcPr>
            <w:tcW w:w="1417" w:type="dxa"/>
            <w:tcBorders>
              <w:left w:val="single" w:color="FFFFFF" w:sz="6" w:space="0"/>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3.00</w:t>
            </w:r>
          </w:p>
        </w:tc>
        <w:tc>
          <w:tcPr>
            <w:tcW w:w="1525" w:type="dxa"/>
            <w:tcBorders>
              <w:bottom w:val="single" w:color="FFFFFF" w:sz="6" w:space="0"/>
            </w:tcBorders>
            <w:shd w:val="clear" w:color="auto" w:fill="B9E6FB"/>
            <w:noWrap w:val="0"/>
            <w:vAlign w:val="center"/>
          </w:tcPr>
          <w:p>
            <w:pPr>
              <w:adjustRightInd w:val="0"/>
              <w:snapToGrid w:val="0"/>
              <w:ind w:right="420" w:rightChars="200"/>
              <w:jc w:val="right"/>
              <w:rPr>
                <w:szCs w:val="21"/>
              </w:rPr>
            </w:pPr>
            <w:r>
              <w:rPr>
                <w:rFonts w:hint="eastAsia"/>
                <w:szCs w:val="21"/>
              </w:rPr>
              <w:t>260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restart"/>
            <w:shd w:val="clear" w:color="auto" w:fill="E2F4FD"/>
            <w:noWrap w:val="0"/>
            <w:vAlign w:val="center"/>
          </w:tcPr>
          <w:p>
            <w:pPr>
              <w:adjustRightInd w:val="0"/>
              <w:snapToGrid w:val="0"/>
              <w:jc w:val="center"/>
              <w:rPr>
                <w:rFonts w:hint="eastAsia" w:eastAsia="宋体"/>
                <w:szCs w:val="21"/>
                <w:lang w:eastAsia="zh-CN"/>
              </w:rPr>
            </w:pPr>
            <w:r>
              <w:rPr>
                <w:rFonts w:hint="eastAsia"/>
                <w:szCs w:val="21"/>
                <w:lang w:val="en-US" w:eastAsia="zh-CN"/>
              </w:rPr>
              <w:t>8</w:t>
            </w:r>
          </w:p>
        </w:tc>
        <w:tc>
          <w:tcPr>
            <w:tcW w:w="2898" w:type="dxa"/>
            <w:shd w:val="clear" w:color="auto" w:fill="E2F4FD"/>
            <w:noWrap w:val="0"/>
            <w:vAlign w:val="center"/>
          </w:tcPr>
          <w:p>
            <w:pPr>
              <w:adjustRightInd w:val="0"/>
              <w:snapToGrid w:val="0"/>
              <w:jc w:val="center"/>
              <w:rPr>
                <w:rFonts w:hint="eastAsia"/>
                <w:szCs w:val="21"/>
              </w:rPr>
            </w:pPr>
            <w:r>
              <w:rPr>
                <w:rFonts w:hint="eastAsia"/>
                <w:szCs w:val="21"/>
              </w:rPr>
              <w:t>11月23日-11月29日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南星水厂取水口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szCs w:val="21"/>
              </w:rPr>
            </w:pPr>
            <w:r>
              <w:rPr>
                <w:rFonts w:hint="eastAsia"/>
                <w:szCs w:val="21"/>
                <w:lang w:val="en-US" w:eastAsia="zh-CN"/>
              </w:rPr>
              <w:t>136.50</w:t>
            </w:r>
          </w:p>
        </w:tc>
        <w:tc>
          <w:tcPr>
            <w:tcW w:w="1525" w:type="dxa"/>
            <w:shd w:val="clear" w:color="auto" w:fill="E2F4FD"/>
            <w:noWrap w:val="0"/>
            <w:vAlign w:val="center"/>
          </w:tcPr>
          <w:p>
            <w:pPr>
              <w:adjustRightInd w:val="0"/>
              <w:snapToGrid w:val="0"/>
              <w:ind w:right="420" w:rightChars="200"/>
              <w:jc w:val="right"/>
              <w:rPr>
                <w:szCs w:val="21"/>
              </w:rPr>
            </w:pPr>
            <w:r>
              <w:rPr>
                <w:rFonts w:hint="eastAsia"/>
                <w:szCs w:val="21"/>
              </w:rPr>
              <w:t>4 300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E2F4FD"/>
            <w:noWrap w:val="0"/>
            <w:vAlign w:val="center"/>
          </w:tcPr>
          <w:p>
            <w:pPr>
              <w:adjustRightInd w:val="0"/>
              <w:snapToGrid w:val="0"/>
              <w:jc w:val="center"/>
              <w:rPr>
                <w:rFonts w:hint="eastAsia"/>
                <w:szCs w:val="21"/>
              </w:rPr>
            </w:pPr>
          </w:p>
        </w:tc>
        <w:tc>
          <w:tcPr>
            <w:tcW w:w="2898" w:type="dxa"/>
            <w:shd w:val="clear" w:color="auto" w:fill="E2F4FD"/>
            <w:noWrap w:val="0"/>
            <w:vAlign w:val="center"/>
          </w:tcPr>
          <w:p>
            <w:pPr>
              <w:adjustRightInd w:val="0"/>
              <w:snapToGrid w:val="0"/>
              <w:jc w:val="center"/>
              <w:rPr>
                <w:rFonts w:hint="eastAsia"/>
                <w:szCs w:val="21"/>
              </w:rPr>
            </w:pPr>
            <w:r>
              <w:rPr>
                <w:rFonts w:hint="eastAsia"/>
                <w:szCs w:val="21"/>
              </w:rPr>
              <w:t>11月23日-11月28日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白塔岭取水口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szCs w:val="21"/>
              </w:rPr>
            </w:pPr>
            <w:r>
              <w:rPr>
                <w:rFonts w:hint="eastAsia"/>
                <w:szCs w:val="21"/>
              </w:rPr>
              <w:t>104.00</w:t>
            </w:r>
          </w:p>
        </w:tc>
        <w:tc>
          <w:tcPr>
            <w:tcW w:w="1525" w:type="dxa"/>
            <w:shd w:val="clear" w:color="auto" w:fill="E2F4FD"/>
            <w:noWrap w:val="0"/>
            <w:vAlign w:val="center"/>
          </w:tcPr>
          <w:p>
            <w:pPr>
              <w:adjustRightInd w:val="0"/>
              <w:snapToGrid w:val="0"/>
              <w:ind w:right="420" w:rightChars="200"/>
              <w:jc w:val="right"/>
              <w:rPr>
                <w:szCs w:val="21"/>
              </w:rPr>
            </w:pPr>
            <w:r>
              <w:rPr>
                <w:rFonts w:hint="eastAsia"/>
                <w:szCs w:val="21"/>
              </w:rPr>
              <w:t>1 200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76" w:hRule="atLeast"/>
          <w:jc w:val="center"/>
        </w:trPr>
        <w:tc>
          <w:tcPr>
            <w:tcW w:w="535" w:type="dxa"/>
            <w:vMerge w:val="continue"/>
            <w:shd w:val="clear" w:color="auto" w:fill="E2F4FD"/>
            <w:noWrap w:val="0"/>
            <w:vAlign w:val="center"/>
          </w:tcPr>
          <w:p>
            <w:pPr>
              <w:adjustRightInd w:val="0"/>
              <w:snapToGrid w:val="0"/>
              <w:jc w:val="center"/>
              <w:rPr>
                <w:rFonts w:hint="eastAsia"/>
                <w:szCs w:val="21"/>
              </w:rPr>
            </w:pPr>
          </w:p>
        </w:tc>
        <w:tc>
          <w:tcPr>
            <w:tcW w:w="2898" w:type="dxa"/>
            <w:shd w:val="clear" w:color="auto" w:fill="E2F4FD"/>
            <w:noWrap w:val="0"/>
            <w:vAlign w:val="center"/>
          </w:tcPr>
          <w:p>
            <w:pPr>
              <w:adjustRightInd w:val="0"/>
              <w:snapToGrid w:val="0"/>
              <w:jc w:val="center"/>
              <w:rPr>
                <w:rFonts w:hint="eastAsia"/>
                <w:szCs w:val="21"/>
              </w:rPr>
            </w:pPr>
            <w:r>
              <w:rPr>
                <w:rFonts w:hint="eastAsia"/>
                <w:szCs w:val="21"/>
              </w:rPr>
              <w:t>11月24日-11月28日</w:t>
            </w:r>
          </w:p>
        </w:tc>
        <w:tc>
          <w:tcPr>
            <w:tcW w:w="2064" w:type="dxa"/>
            <w:tcBorders>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九溪取水口</w:t>
            </w:r>
          </w:p>
        </w:tc>
        <w:tc>
          <w:tcPr>
            <w:tcW w:w="1417" w:type="dxa"/>
            <w:tcBorders>
              <w:left w:val="single" w:color="FFFFFF" w:sz="6" w:space="0"/>
            </w:tcBorders>
            <w:shd w:val="clear" w:color="auto" w:fill="E2F4FD"/>
            <w:noWrap w:val="0"/>
            <w:vAlign w:val="center"/>
          </w:tcPr>
          <w:p>
            <w:pPr>
              <w:adjustRightInd w:val="0"/>
              <w:snapToGrid w:val="0"/>
              <w:ind w:right="420" w:rightChars="200"/>
              <w:jc w:val="right"/>
              <w:rPr>
                <w:szCs w:val="21"/>
              </w:rPr>
            </w:pPr>
            <w:r>
              <w:rPr>
                <w:rFonts w:hint="eastAsia"/>
                <w:szCs w:val="21"/>
              </w:rPr>
              <w:t>86.00</w:t>
            </w:r>
          </w:p>
        </w:tc>
        <w:tc>
          <w:tcPr>
            <w:tcW w:w="1525" w:type="dxa"/>
            <w:shd w:val="clear" w:color="auto" w:fill="E2F4FD"/>
            <w:noWrap w:val="0"/>
            <w:vAlign w:val="center"/>
          </w:tcPr>
          <w:p>
            <w:pPr>
              <w:adjustRightInd w:val="0"/>
              <w:snapToGrid w:val="0"/>
              <w:ind w:right="420" w:rightChars="200"/>
              <w:jc w:val="right"/>
              <w:rPr>
                <w:szCs w:val="21"/>
              </w:rPr>
            </w:pPr>
            <w:r>
              <w:rPr>
                <w:rFonts w:hint="eastAsia"/>
                <w:szCs w:val="21"/>
              </w:rPr>
              <w:t>840</w:t>
            </w:r>
          </w:p>
        </w:tc>
      </w:tr>
    </w:tbl>
    <w:p>
      <w:pPr>
        <w:bidi w:val="0"/>
      </w:pPr>
      <w:bookmarkStart w:id="18" w:name="_Toc1143859"/>
      <w:bookmarkStart w:id="19" w:name="_Toc504058435"/>
      <w:bookmarkStart w:id="20" w:name="_Toc3331450"/>
    </w:p>
    <w:p>
      <w:pPr>
        <w:bidi w:val="0"/>
      </w:pPr>
    </w:p>
    <w:p>
      <w:pPr>
        <w:bidi w:val="0"/>
      </w:pPr>
    </w:p>
    <w:p>
      <w:pPr>
        <w:outlineLvl w:val="0"/>
        <w:rPr>
          <w:rStyle w:val="29"/>
          <w:rFonts w:hint="eastAsia" w:ascii="黑体" w:hAnsi="黑体" w:eastAsia="黑体"/>
        </w:rPr>
      </w:pPr>
      <w:r>
        <w:rPr>
          <w:color w:val="FF0000"/>
          <w:sz w:val="30"/>
          <w:szCs w:val="30"/>
        </w:rPr>
        <mc:AlternateContent>
          <mc:Choice Requires="wps">
            <w:drawing>
              <wp:inline distT="0" distB="0" distL="114300" distR="114300">
                <wp:extent cx="5400040" cy="989330"/>
                <wp:effectExtent l="6350" t="6350" r="22860" b="13970"/>
                <wp:docPr id="4" name="文本框 18"/>
                <wp:cNvGraphicFramePr/>
                <a:graphic xmlns:a="http://schemas.openxmlformats.org/drawingml/2006/main">
                  <a:graphicData uri="http://schemas.microsoft.com/office/word/2010/wordprocessingShape">
                    <wps:wsp>
                      <wps:cNvSpPr txBox="true">
                        <a:spLocks noRot="true"/>
                      </wps:cNvSpPr>
                      <wps:spPr>
                        <a:xfrm>
                          <a:off x="0" y="0"/>
                          <a:ext cx="5400040" cy="989330"/>
                        </a:xfrm>
                        <a:prstGeom prst="rect">
                          <a:avLst/>
                        </a:prstGeom>
                        <a:gradFill rotWithShape="true">
                          <a:gsLst>
                            <a:gs pos="0">
                              <a:srgbClr val="F2DBDB"/>
                            </a:gs>
                            <a:gs pos="100000">
                              <a:srgbClr val="FFFFFF"/>
                            </a:gs>
                          </a:gsLst>
                          <a:lin ang="5400000" scaled="true"/>
                          <a:tileRect/>
                        </a:gradFill>
                        <a:ln w="12700" cap="flat" cmpd="sng">
                          <a:solidFill>
                            <a:srgbClr val="484329"/>
                          </a:solidFill>
                          <a:prstDash val="solid"/>
                          <a:miter/>
                          <a:headEnd type="none" w="med" len="med"/>
                          <a:tailEnd type="none" w="med" len="med"/>
                        </a:ln>
                      </wps:spPr>
                      <wps:txbx>
                        <w:txbxContent>
                          <w:p>
                            <w:pPr>
                              <w:pStyle w:val="16"/>
                              <w:spacing w:line="400" w:lineRule="exact"/>
                              <w:ind w:firstLine="437"/>
                              <w:jc w:val="both"/>
                              <w:rPr>
                                <w:rFonts w:hint="default" w:ascii="Times New Roman" w:eastAsia="宋体"/>
                                <w:sz w:val="21"/>
                                <w:lang w:val="en-US" w:eastAsia="zh-CN"/>
                              </w:rPr>
                            </w:pPr>
                            <w:r>
                              <w:rPr>
                                <w:rFonts w:ascii="Times New Roman"/>
                                <w:sz w:val="21"/>
                              </w:rPr>
                              <w:t>氯化物的含量是衡量水质是否受海水影响的重要指标。</w:t>
                            </w:r>
                            <w:r>
                              <w:rPr>
                                <w:rFonts w:hint="eastAsia" w:ascii="Times New Roman"/>
                                <w:sz w:val="21"/>
                                <w:lang w:eastAsia="zh-CN"/>
                              </w:rPr>
                              <w:t>根据《</w:t>
                            </w:r>
                            <w:r>
                              <w:rPr>
                                <w:rFonts w:hint="eastAsia" w:ascii="Times New Roman"/>
                                <w:sz w:val="21"/>
                                <w:lang w:val="en-US" w:eastAsia="zh-CN"/>
                              </w:rPr>
                              <w:t>GB 3838-2002地表水环境质量标准</w:t>
                            </w:r>
                            <w:r>
                              <w:rPr>
                                <w:rFonts w:hint="eastAsia" w:ascii="Times New Roman"/>
                                <w:sz w:val="21"/>
                                <w:lang w:eastAsia="zh-CN"/>
                              </w:rPr>
                              <w:t>》规定，集中式生活饮用水地表水源</w:t>
                            </w:r>
                            <w:r>
                              <w:rPr>
                                <w:rFonts w:ascii="Times New Roman"/>
                                <w:sz w:val="21"/>
                              </w:rPr>
                              <w:t>氯化物的含量</w:t>
                            </w:r>
                            <w:r>
                              <w:rPr>
                                <w:rFonts w:hint="eastAsia" w:ascii="Times New Roman"/>
                                <w:sz w:val="21"/>
                                <w:lang w:eastAsia="zh-CN"/>
                              </w:rPr>
                              <w:t>不应超过</w:t>
                            </w:r>
                            <w:r>
                              <w:rPr>
                                <w:rFonts w:hint="eastAsia" w:ascii="Times New Roman"/>
                                <w:sz w:val="21"/>
                                <w:lang w:val="en-US" w:eastAsia="zh-CN"/>
                              </w:rPr>
                              <w:t>250毫克/升。</w:t>
                            </w:r>
                          </w:p>
                        </w:txbxContent>
                      </wps:txbx>
                      <wps:bodyPr wrap="square" upright="true"/>
                    </wps:wsp>
                  </a:graphicData>
                </a:graphic>
              </wp:inline>
            </w:drawing>
          </mc:Choice>
          <mc:Fallback>
            <w:pict>
              <v:shape id="文本框 18" o:spid="_x0000_s1026" o:spt="202" type="#_x0000_t202" style="height:77.9pt;width:425.2pt;" fillcolor="#F2DBDB" filled="t" stroked="t" coordsize="21600,21600" o:gfxdata="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HJmBy1QAAAAUBAAAPAAAAAAAAAAEAIAAAADgAAABkcnMvZG93bnJldi54&#10;bWxQSwECFAAUAAAACACHTuJAA8A6g1kCAADCBAAADgAAAAAAAAABACAAAAA6AQAAZHJzL2Uyb0Rv&#10;Yy54bWxQSwUGAAAAAAYABgBZAQAABQYAAAAA&#10;">
                <v:fill type="gradient" on="t" color2="#FFFFFF" focus="100%" focussize="0,0" rotate="t"/>
                <v:stroke weight="1pt" color="#484329" joinstyle="miter"/>
                <v:imagedata o:title=""/>
                <o:lock v:ext="edit" rotation="t" aspectratio="f"/>
                <v:textbox>
                  <w:txbxContent>
                    <w:p>
                      <w:pPr>
                        <w:pStyle w:val="16"/>
                        <w:spacing w:line="400" w:lineRule="exact"/>
                        <w:ind w:firstLine="437"/>
                        <w:jc w:val="both"/>
                        <w:rPr>
                          <w:rFonts w:hint="default" w:ascii="Times New Roman" w:eastAsia="宋体"/>
                          <w:sz w:val="21"/>
                          <w:lang w:val="en-US" w:eastAsia="zh-CN"/>
                        </w:rPr>
                      </w:pPr>
                      <w:r>
                        <w:rPr>
                          <w:rFonts w:ascii="Times New Roman"/>
                          <w:sz w:val="21"/>
                        </w:rPr>
                        <w:t>氯化物的含量是衡量水质是否受海水影响的重要指标。</w:t>
                      </w:r>
                      <w:r>
                        <w:rPr>
                          <w:rFonts w:hint="eastAsia" w:ascii="Times New Roman"/>
                          <w:sz w:val="21"/>
                          <w:lang w:eastAsia="zh-CN"/>
                        </w:rPr>
                        <w:t>根据《</w:t>
                      </w:r>
                      <w:r>
                        <w:rPr>
                          <w:rFonts w:hint="eastAsia" w:ascii="Times New Roman"/>
                          <w:sz w:val="21"/>
                          <w:lang w:val="en-US" w:eastAsia="zh-CN"/>
                        </w:rPr>
                        <w:t>GB 3838-2002地表水环境质量标准</w:t>
                      </w:r>
                      <w:r>
                        <w:rPr>
                          <w:rFonts w:hint="eastAsia" w:ascii="Times New Roman"/>
                          <w:sz w:val="21"/>
                          <w:lang w:eastAsia="zh-CN"/>
                        </w:rPr>
                        <w:t>》规定，集中式生活饮用水地表水源</w:t>
                      </w:r>
                      <w:r>
                        <w:rPr>
                          <w:rFonts w:ascii="Times New Roman"/>
                          <w:sz w:val="21"/>
                        </w:rPr>
                        <w:t>氯化物的含量</w:t>
                      </w:r>
                      <w:r>
                        <w:rPr>
                          <w:rFonts w:hint="eastAsia" w:ascii="Times New Roman"/>
                          <w:sz w:val="21"/>
                          <w:lang w:eastAsia="zh-CN"/>
                        </w:rPr>
                        <w:t>不应超过</w:t>
                      </w:r>
                      <w:r>
                        <w:rPr>
                          <w:rFonts w:hint="eastAsia" w:ascii="Times New Roman"/>
                          <w:sz w:val="21"/>
                          <w:lang w:val="en-US" w:eastAsia="zh-CN"/>
                        </w:rPr>
                        <w:t>250毫克/升。</w:t>
                      </w:r>
                    </w:p>
                  </w:txbxContent>
                </v:textbox>
                <w10:wrap type="none"/>
                <w10:anchorlock/>
              </v:shape>
            </w:pict>
          </mc:Fallback>
        </mc:AlternateContent>
      </w:r>
      <w:r>
        <w:rPr>
          <w:color w:val="FF0000"/>
          <w:sz w:val="30"/>
          <w:szCs w:val="30"/>
        </w:rPr>
        <w:br w:type="page"/>
      </w:r>
      <w:bookmarkStart w:id="21" w:name="_Toc1874091705"/>
      <w:r>
        <w:rPr>
          <w:rStyle w:val="29"/>
          <w:rFonts w:hint="eastAsia" w:ascii="黑体" w:hAnsi="黑体" w:eastAsia="黑体"/>
        </w:rPr>
        <w:t>七、海岸侵蚀</w:t>
      </w:r>
      <w:bookmarkEnd w:id="18"/>
      <w:bookmarkEnd w:id="19"/>
      <w:bookmarkEnd w:id="20"/>
      <w:bookmarkEnd w:id="21"/>
    </w:p>
    <w:p>
      <w:pPr>
        <w:spacing w:before="156" w:beforeLines="50"/>
        <w:ind w:firstLine="573"/>
        <w:rPr>
          <w:rFonts w:hint="eastAsia"/>
          <w:sz w:val="30"/>
          <w:szCs w:val="30"/>
        </w:rPr>
      </w:pPr>
      <w:r>
        <w:rPr>
          <w:rFonts w:hint="eastAsia"/>
          <w:sz w:val="30"/>
          <w:szCs w:val="30"/>
        </w:rPr>
        <w:t>2022年，</w:t>
      </w:r>
      <w:r>
        <w:rPr>
          <w:rFonts w:hint="eastAsia" w:ascii="宋体" w:hAnsi="宋体"/>
          <w:sz w:val="30"/>
          <w:szCs w:val="30"/>
        </w:rPr>
        <w:t>嘉兴、舟山等岸段的海岸侵蚀</w:t>
      </w:r>
      <w:r>
        <w:rPr>
          <w:rFonts w:hint="eastAsia" w:ascii="宋体" w:hAnsi="宋体"/>
          <w:sz w:val="30"/>
          <w:szCs w:val="30"/>
          <w:lang w:eastAsia="zh-CN"/>
        </w:rPr>
        <w:t>监测</w:t>
      </w:r>
      <w:r>
        <w:rPr>
          <w:rFonts w:hint="eastAsia" w:ascii="宋体" w:hAnsi="宋体"/>
          <w:sz w:val="30"/>
          <w:szCs w:val="30"/>
        </w:rPr>
        <w:t>结果表明，监测岸段</w:t>
      </w:r>
      <w:r>
        <w:rPr>
          <w:rFonts w:hint="eastAsia"/>
          <w:sz w:val="30"/>
          <w:szCs w:val="30"/>
        </w:rPr>
        <w:t>未发生显著海岸侵蚀，总体情况基本稳定。</w:t>
      </w:r>
    </w:p>
    <w:p>
      <w:pPr>
        <w:keepNext w:val="0"/>
        <w:keepLines w:val="0"/>
        <w:pageBreakBefore w:val="0"/>
        <w:widowControl w:val="0"/>
        <w:kinsoku/>
        <w:wordWrap/>
        <w:overflowPunct/>
        <w:topLinePunct w:val="0"/>
        <w:autoSpaceDE/>
        <w:autoSpaceDN/>
        <w:bidi w:val="0"/>
        <w:adjustRightInd/>
        <w:snapToGrid/>
        <w:spacing w:before="157" w:beforeLines="50"/>
        <w:ind w:firstLine="573"/>
        <w:textAlignment w:val="auto"/>
        <w:rPr>
          <w:rFonts w:hint="eastAsia" w:ascii="宋体" w:hAnsi="宋体"/>
          <w:sz w:val="30"/>
          <w:szCs w:val="30"/>
        </w:rPr>
      </w:pPr>
      <w:r>
        <w:rPr>
          <w:rFonts w:hint="eastAsia"/>
          <w:sz w:val="30"/>
          <w:szCs w:val="30"/>
        </w:rPr>
        <w:t>嘉兴海宁尖山滩涂岸</w:t>
      </w:r>
      <w:r>
        <w:rPr>
          <w:rFonts w:hint="eastAsia"/>
          <w:sz w:val="30"/>
          <w:szCs w:val="30"/>
          <w:lang w:eastAsia="zh-CN"/>
        </w:rPr>
        <w:t>段</w:t>
      </w:r>
      <w:r>
        <w:rPr>
          <w:rFonts w:hint="eastAsia"/>
          <w:sz w:val="30"/>
          <w:szCs w:val="30"/>
        </w:rPr>
        <w:t>经治江围涂整治，呈现一定程度淤积状态，</w:t>
      </w:r>
      <w:r>
        <w:rPr>
          <w:rFonts w:hint="eastAsia"/>
          <w:sz w:val="30"/>
          <w:szCs w:val="30"/>
          <w:lang w:eastAsia="zh-CN"/>
        </w:rPr>
        <w:t>岸线</w:t>
      </w:r>
      <w:r>
        <w:rPr>
          <w:rFonts w:hint="eastAsia"/>
          <w:sz w:val="30"/>
          <w:szCs w:val="30"/>
        </w:rPr>
        <w:t>基本稳</w:t>
      </w:r>
      <w:r>
        <w:rPr>
          <w:rFonts w:hint="eastAsia" w:ascii="Times New Roman" w:hAnsi="Times New Roman" w:eastAsia="宋体" w:cs="Times New Roman"/>
          <w:sz w:val="30"/>
          <w:szCs w:val="30"/>
        </w:rPr>
        <w:t>定</w:t>
      </w:r>
      <w:r>
        <w:rPr>
          <w:rFonts w:hint="eastAsia"/>
          <w:sz w:val="30"/>
          <w:szCs w:val="30"/>
          <w:lang w:eastAsia="zh-CN"/>
        </w:rPr>
        <w:t>（见表</w:t>
      </w:r>
      <w:r>
        <w:rPr>
          <w:rFonts w:hint="eastAsia"/>
          <w:sz w:val="30"/>
          <w:szCs w:val="30"/>
          <w:lang w:val="en-US" w:eastAsia="zh-CN"/>
        </w:rPr>
        <w:t>9</w:t>
      </w:r>
      <w:r>
        <w:rPr>
          <w:rFonts w:hint="eastAsia"/>
          <w:sz w:val="30"/>
          <w:szCs w:val="30"/>
          <w:lang w:eastAsia="zh-CN"/>
        </w:rPr>
        <w:t>）</w:t>
      </w:r>
      <w:r>
        <w:rPr>
          <w:rFonts w:hint="eastAsia" w:ascii="Times New Roman" w:hAnsi="Times New Roman" w:eastAsia="宋体" w:cs="Times New Roman"/>
          <w:sz w:val="30"/>
          <w:szCs w:val="30"/>
        </w:rPr>
        <w:t>。</w:t>
      </w:r>
      <w:r>
        <w:rPr>
          <w:rFonts w:hint="eastAsia" w:ascii="宋体" w:hAnsi="宋体"/>
          <w:sz w:val="30"/>
          <w:szCs w:val="30"/>
        </w:rPr>
        <w:t>舟山朱家尖大青山千沙岸段、普陀山千步沙岸段存在一定程度的岸线蚀退和下蚀现象，岸线较为稳定</w:t>
      </w:r>
      <w:r>
        <w:rPr>
          <w:rFonts w:hint="eastAsia" w:ascii="宋体" w:hAnsi="宋体"/>
          <w:sz w:val="30"/>
          <w:szCs w:val="30"/>
          <w:lang w:eastAsia="zh-CN"/>
        </w:rPr>
        <w:t>（见图</w:t>
      </w:r>
      <w:r>
        <w:rPr>
          <w:rFonts w:hint="eastAsia" w:ascii="宋体" w:hAnsi="宋体"/>
          <w:sz w:val="30"/>
          <w:szCs w:val="30"/>
          <w:lang w:val="en-US" w:eastAsia="zh-CN"/>
        </w:rPr>
        <w:t>12</w:t>
      </w:r>
      <w:r>
        <w:rPr>
          <w:rFonts w:hint="eastAsia" w:ascii="宋体" w:hAnsi="宋体"/>
          <w:sz w:val="30"/>
          <w:szCs w:val="30"/>
          <w:lang w:eastAsia="zh-CN"/>
        </w:rPr>
        <w:t>）</w:t>
      </w:r>
      <w:r>
        <w:rPr>
          <w:rFonts w:hint="eastAsia" w:ascii="宋体" w:hAnsi="宋体"/>
          <w:sz w:val="30"/>
          <w:szCs w:val="30"/>
        </w:rPr>
        <w:t>。2</w:t>
      </w:r>
      <w:r>
        <w:rPr>
          <w:rFonts w:ascii="宋体" w:hAnsi="宋体"/>
          <w:sz w:val="30"/>
          <w:szCs w:val="30"/>
        </w:rPr>
        <w:t>022</w:t>
      </w:r>
      <w:r>
        <w:rPr>
          <w:rFonts w:hint="eastAsia" w:ascii="宋体" w:hAnsi="宋体"/>
          <w:sz w:val="30"/>
          <w:szCs w:val="30"/>
        </w:rPr>
        <w:t>年新增桃花岛塔湾金沙和桃花岛学耕塘外滩</w:t>
      </w:r>
      <w:r>
        <w:rPr>
          <w:rFonts w:hint="eastAsia" w:ascii="宋体" w:hAnsi="宋体"/>
          <w:sz w:val="30"/>
          <w:szCs w:val="30"/>
          <w:lang w:val="en-US" w:eastAsia="zh-CN"/>
        </w:rPr>
        <w:t>2个</w:t>
      </w:r>
      <w:r>
        <w:rPr>
          <w:rFonts w:hint="eastAsia" w:ascii="宋体" w:hAnsi="宋体"/>
          <w:sz w:val="30"/>
          <w:szCs w:val="30"/>
          <w:lang w:eastAsia="zh-CN"/>
        </w:rPr>
        <w:t>监测岸段</w:t>
      </w:r>
      <w:r>
        <w:rPr>
          <w:rFonts w:hint="eastAsia" w:ascii="宋体" w:hAnsi="宋体"/>
          <w:sz w:val="30"/>
          <w:szCs w:val="30"/>
        </w:rPr>
        <w:t>。</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eastAsia="宋体"/>
          <w:sz w:val="30"/>
          <w:szCs w:val="30"/>
          <w:lang w:eastAsia="zh-CN"/>
        </w:rPr>
      </w:pPr>
      <w:r>
        <w:rPr>
          <w:sz w:val="24"/>
        </w:rPr>
        <w:t>表</w:t>
      </w:r>
      <w:r>
        <w:rPr>
          <w:rFonts w:hint="eastAsia"/>
          <w:sz w:val="24"/>
          <w:lang w:val="en-US" w:eastAsia="zh-CN"/>
        </w:rPr>
        <w:t>9</w:t>
      </w:r>
      <w:r>
        <w:rPr>
          <w:sz w:val="24"/>
        </w:rPr>
        <w:t xml:space="preserve">  20</w:t>
      </w:r>
      <w:r>
        <w:rPr>
          <w:rFonts w:hint="eastAsia"/>
          <w:sz w:val="24"/>
        </w:rPr>
        <w:t>22</w:t>
      </w:r>
      <w:r>
        <w:rPr>
          <w:sz w:val="24"/>
        </w:rPr>
        <w:t>年</w:t>
      </w:r>
      <w:r>
        <w:rPr>
          <w:rFonts w:hint="eastAsia"/>
          <w:sz w:val="24"/>
          <w:lang w:eastAsia="zh-CN"/>
        </w:rPr>
        <w:t>监测岸段海岸侵蚀情况</w:t>
      </w:r>
    </w:p>
    <w:tbl>
      <w:tblPr>
        <w:tblStyle w:val="20"/>
        <w:tblW w:w="0" w:type="auto"/>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1541"/>
        <w:gridCol w:w="1605"/>
        <w:gridCol w:w="1335"/>
        <w:gridCol w:w="1530"/>
        <w:gridCol w:w="1530"/>
        <w:gridCol w:w="1000"/>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675" w:hRule="exact"/>
          <w:jc w:val="center"/>
        </w:trPr>
        <w:tc>
          <w:tcPr>
            <w:tcW w:w="1541" w:type="dxa"/>
            <w:shd w:val="clear" w:color="auto" w:fill="0F76BB"/>
            <w:noWrap w:val="0"/>
            <w:vAlign w:val="center"/>
          </w:tcPr>
          <w:p>
            <w:pPr>
              <w:adjustRightInd w:val="0"/>
              <w:snapToGrid w:val="0"/>
              <w:jc w:val="center"/>
              <w:rPr>
                <w:rFonts w:hint="default" w:ascii="Times New Roman" w:hAnsi="Times New Roman" w:eastAsia="宋体" w:cs="Times New Roman"/>
                <w:b/>
                <w:bCs/>
                <w:color w:val="FFFFFF"/>
                <w:szCs w:val="21"/>
              </w:rPr>
            </w:pPr>
            <w:r>
              <w:rPr>
                <w:rFonts w:hint="eastAsia" w:ascii="Times New Roman" w:hAnsi="Times New Roman" w:eastAsia="宋体" w:cs="Times New Roman"/>
                <w:b/>
                <w:bCs/>
                <w:color w:val="FFFFFF"/>
                <w:szCs w:val="21"/>
              </w:rPr>
              <w:t>岸段名称</w:t>
            </w:r>
          </w:p>
        </w:tc>
        <w:tc>
          <w:tcPr>
            <w:tcW w:w="1605" w:type="dxa"/>
            <w:tcBorders>
              <w:right w:val="single" w:color="FFFFFF" w:sz="4" w:space="0"/>
            </w:tcBorders>
            <w:shd w:val="clear" w:color="auto" w:fill="0F76BB"/>
            <w:noWrap w:val="0"/>
            <w:vAlign w:val="center"/>
          </w:tcPr>
          <w:p>
            <w:pPr>
              <w:adjustRightInd w:val="0"/>
              <w:snapToGrid w:val="0"/>
              <w:jc w:val="center"/>
              <w:rPr>
                <w:rFonts w:hint="default" w:ascii="Times New Roman" w:hAnsi="Times New Roman" w:eastAsia="宋体" w:cs="Times New Roman"/>
                <w:b/>
                <w:bCs/>
                <w:color w:val="FFFFFF"/>
                <w:szCs w:val="21"/>
              </w:rPr>
            </w:pPr>
            <w:r>
              <w:rPr>
                <w:rFonts w:hint="eastAsia" w:ascii="Times New Roman" w:hAnsi="Times New Roman" w:eastAsia="宋体" w:cs="Times New Roman"/>
                <w:b/>
                <w:bCs/>
                <w:color w:val="FFFFFF"/>
                <w:szCs w:val="21"/>
              </w:rPr>
              <w:t>岸线类型</w:t>
            </w:r>
          </w:p>
        </w:tc>
        <w:tc>
          <w:tcPr>
            <w:tcW w:w="1335" w:type="dxa"/>
            <w:tcBorders>
              <w:right w:val="single" w:color="FFFFFF" w:sz="4" w:space="0"/>
            </w:tcBorders>
            <w:shd w:val="clear" w:color="auto" w:fill="0F76BB"/>
            <w:noWrap w:val="0"/>
            <w:vAlign w:val="center"/>
          </w:tcPr>
          <w:p>
            <w:pPr>
              <w:adjustRightInd w:val="0"/>
              <w:snapToGrid w:val="0"/>
              <w:jc w:val="center"/>
              <w:rPr>
                <w:rFonts w:hint="eastAsia" w:ascii="Times New Roman" w:hAnsi="Times New Roman" w:eastAsia="宋体" w:cs="Times New Roman"/>
                <w:b/>
                <w:bCs/>
                <w:color w:val="FFFFFF"/>
                <w:szCs w:val="21"/>
              </w:rPr>
            </w:pPr>
            <w:r>
              <w:rPr>
                <w:rFonts w:hint="eastAsia" w:ascii="Times New Roman" w:hAnsi="Times New Roman" w:eastAsia="宋体" w:cs="Times New Roman"/>
                <w:b/>
                <w:bCs/>
                <w:color w:val="FFFFFF"/>
                <w:szCs w:val="21"/>
              </w:rPr>
              <w:t>岸线长度</w:t>
            </w:r>
          </w:p>
          <w:p>
            <w:pPr>
              <w:adjustRightInd w:val="0"/>
              <w:snapToGrid w:val="0"/>
              <w:jc w:val="center"/>
              <w:rPr>
                <w:rFonts w:hint="default" w:ascii="Times New Roman" w:hAnsi="Times New Roman" w:eastAsia="宋体" w:cs="Times New Roman"/>
                <w:b/>
                <w:bCs/>
                <w:color w:val="FFFFFF"/>
                <w:szCs w:val="21"/>
              </w:rPr>
            </w:pPr>
            <w:r>
              <w:rPr>
                <w:rFonts w:hint="eastAsia" w:ascii="Times New Roman" w:hAnsi="Times New Roman" w:eastAsia="宋体" w:cs="Times New Roman"/>
                <w:b/>
                <w:bCs/>
                <w:color w:val="FFFFFF"/>
                <w:szCs w:val="21"/>
              </w:rPr>
              <w:t>（千米）</w:t>
            </w:r>
          </w:p>
        </w:tc>
        <w:tc>
          <w:tcPr>
            <w:tcW w:w="1530" w:type="dxa"/>
            <w:tcBorders>
              <w:right w:val="single" w:color="FFFFFF" w:sz="4" w:space="0"/>
            </w:tcBorders>
            <w:shd w:val="clear" w:color="auto" w:fill="0F76BB"/>
            <w:noWrap w:val="0"/>
            <w:vAlign w:val="center"/>
          </w:tcPr>
          <w:p>
            <w:pPr>
              <w:adjustRightInd w:val="0"/>
              <w:snapToGrid w:val="0"/>
              <w:jc w:val="center"/>
              <w:rPr>
                <w:rFonts w:hint="default" w:ascii="Times New Roman" w:hAnsi="Times New Roman" w:eastAsia="宋体" w:cs="Times New Roman"/>
                <w:b/>
                <w:bCs/>
                <w:color w:val="FFFFFF"/>
                <w:szCs w:val="21"/>
                <w:lang w:val="en-US" w:eastAsia="zh-CN"/>
              </w:rPr>
            </w:pPr>
            <w:r>
              <w:rPr>
                <w:rFonts w:hint="eastAsia" w:ascii="Times New Roman" w:hAnsi="Times New Roman" w:eastAsia="宋体" w:cs="Times New Roman"/>
                <w:b/>
                <w:bCs/>
                <w:color w:val="FFFFFF"/>
                <w:szCs w:val="21"/>
              </w:rPr>
              <w:t>岸线蚀退距离</w:t>
            </w:r>
            <w:r>
              <w:rPr>
                <w:rFonts w:hint="eastAsia" w:ascii="Times New Roman" w:hAnsi="Times New Roman" w:eastAsia="宋体" w:cs="Times New Roman"/>
                <w:b/>
                <w:bCs/>
                <w:color w:val="FFFFFF"/>
                <w:szCs w:val="21"/>
                <w:lang w:eastAsia="zh-CN"/>
              </w:rPr>
              <w:t>最大值（厘米）</w:t>
            </w:r>
          </w:p>
        </w:tc>
        <w:tc>
          <w:tcPr>
            <w:tcW w:w="1530" w:type="dxa"/>
            <w:tcBorders>
              <w:left w:val="single" w:color="FFFFFF" w:sz="4" w:space="0"/>
            </w:tcBorders>
            <w:shd w:val="clear" w:color="auto" w:fill="0F76BB"/>
            <w:noWrap w:val="0"/>
            <w:vAlign w:val="center"/>
          </w:tcPr>
          <w:p>
            <w:pPr>
              <w:adjustRightInd w:val="0"/>
              <w:snapToGrid w:val="0"/>
              <w:jc w:val="center"/>
              <w:rPr>
                <w:rFonts w:hint="default" w:ascii="Times New Roman" w:hAnsi="Times New Roman" w:eastAsia="宋体" w:cs="Times New Roman"/>
                <w:b/>
                <w:bCs/>
                <w:color w:val="FFFFFF"/>
                <w:szCs w:val="21"/>
                <w:lang w:val="en-US" w:eastAsia="zh-CN"/>
              </w:rPr>
            </w:pPr>
            <w:r>
              <w:rPr>
                <w:rFonts w:hint="eastAsia" w:ascii="Times New Roman" w:hAnsi="Times New Roman" w:eastAsia="宋体" w:cs="Times New Roman"/>
                <w:b/>
                <w:bCs/>
                <w:color w:val="FFFFFF"/>
                <w:szCs w:val="21"/>
              </w:rPr>
              <w:t>滩面下蚀高度</w:t>
            </w:r>
            <w:r>
              <w:rPr>
                <w:rFonts w:hint="eastAsia" w:ascii="Times New Roman" w:hAnsi="Times New Roman" w:eastAsia="宋体" w:cs="Times New Roman"/>
                <w:b/>
                <w:bCs/>
                <w:color w:val="FFFFFF"/>
                <w:szCs w:val="21"/>
                <w:lang w:eastAsia="zh-CN"/>
              </w:rPr>
              <w:t>最大值（厘米）</w:t>
            </w:r>
          </w:p>
        </w:tc>
        <w:tc>
          <w:tcPr>
            <w:tcW w:w="1000" w:type="dxa"/>
            <w:tcBorders>
              <w:right w:val="single" w:color="FFFFFF" w:sz="6" w:space="0"/>
            </w:tcBorders>
            <w:shd w:val="clear" w:color="auto" w:fill="0F76BB"/>
            <w:noWrap w:val="0"/>
            <w:vAlign w:val="center"/>
          </w:tcPr>
          <w:p>
            <w:pPr>
              <w:adjustRightInd w:val="0"/>
              <w:snapToGrid w:val="0"/>
              <w:jc w:val="center"/>
              <w:rPr>
                <w:rFonts w:hint="default" w:ascii="Times New Roman" w:hAnsi="Times New Roman" w:eastAsia="宋体" w:cs="Times New Roman"/>
                <w:b/>
                <w:bCs/>
                <w:color w:val="FFFFFF"/>
                <w:szCs w:val="21"/>
              </w:rPr>
            </w:pPr>
            <w:r>
              <w:rPr>
                <w:rFonts w:hint="eastAsia" w:ascii="Times New Roman" w:hAnsi="Times New Roman" w:eastAsia="宋体" w:cs="Times New Roman"/>
                <w:b/>
                <w:bCs/>
                <w:color w:val="FFFFFF"/>
                <w:szCs w:val="21"/>
              </w:rPr>
              <w:t>强度等级</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541" w:type="dxa"/>
            <w:tcBorders>
              <w:bottom w:val="single" w:color="FFFFFF" w:sz="6" w:space="0"/>
            </w:tcBorders>
            <w:shd w:val="clear" w:color="auto" w:fill="B9E6FB"/>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舟山大青山千</w:t>
            </w:r>
            <w:r>
              <w:rPr>
                <w:rFonts w:hint="eastAsia" w:ascii="Times New Roman" w:hAnsi="Times New Roman" w:eastAsia="宋体" w:cs="Times New Roman"/>
                <w:szCs w:val="21"/>
                <w:lang w:eastAsia="zh-CN"/>
              </w:rPr>
              <w:t>沙岸段</w:t>
            </w:r>
          </w:p>
        </w:tc>
        <w:tc>
          <w:tcPr>
            <w:tcW w:w="1605" w:type="dxa"/>
            <w:tcBorders>
              <w:bottom w:val="single" w:color="FFFFFF" w:sz="6" w:space="0"/>
              <w:right w:val="single" w:color="FFFFFF" w:sz="4" w:space="0"/>
            </w:tcBorders>
            <w:shd w:val="clear" w:color="auto" w:fill="B9E6FB"/>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砂质海岸</w:t>
            </w:r>
          </w:p>
        </w:tc>
        <w:tc>
          <w:tcPr>
            <w:tcW w:w="1335" w:type="dxa"/>
            <w:tcBorders>
              <w:bottom w:val="single" w:color="FFFFFF" w:sz="6" w:space="0"/>
              <w:right w:val="single" w:color="FFFFFF" w:sz="4" w:space="0"/>
            </w:tcBorders>
            <w:shd w:val="clear" w:color="auto" w:fill="B9E6FB"/>
            <w:noWrap w:val="0"/>
            <w:vAlign w:val="center"/>
          </w:tcPr>
          <w:p>
            <w:pPr>
              <w:widowControl/>
              <w:jc w:val="center"/>
              <w:textAlignment w:val="center"/>
              <w:rPr>
                <w:rFonts w:hint="eastAsia"/>
                <w:kern w:val="2"/>
                <w:sz w:val="21"/>
                <w:szCs w:val="21"/>
                <w:lang w:val="en-US" w:eastAsia="zh-CN" w:bidi="ar-SA"/>
              </w:rPr>
            </w:pPr>
            <w:r>
              <w:rPr>
                <w:kern w:val="0"/>
                <w:sz w:val="21"/>
                <w:szCs w:val="21"/>
              </w:rPr>
              <w:t>1.17</w:t>
            </w:r>
          </w:p>
        </w:tc>
        <w:tc>
          <w:tcPr>
            <w:tcW w:w="1530" w:type="dxa"/>
            <w:tcBorders>
              <w:bottom w:val="single" w:color="FFFFFF" w:sz="6" w:space="0"/>
              <w:right w:val="single" w:color="FFFFFF" w:sz="4" w:space="0"/>
            </w:tcBorders>
            <w:shd w:val="clear" w:color="auto" w:fill="B9E6FB"/>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rFonts w:hint="eastAsia"/>
                <w:kern w:val="2"/>
                <w:sz w:val="21"/>
                <w:szCs w:val="21"/>
                <w:lang w:val="en-US" w:eastAsia="zh-CN" w:bidi="ar-SA"/>
              </w:rPr>
            </w:pPr>
            <w:r>
              <w:rPr>
                <w:kern w:val="0"/>
                <w:sz w:val="21"/>
                <w:szCs w:val="21"/>
              </w:rPr>
              <w:t>23</w:t>
            </w:r>
          </w:p>
        </w:tc>
        <w:tc>
          <w:tcPr>
            <w:tcW w:w="1530" w:type="dxa"/>
            <w:tcBorders>
              <w:left w:val="single" w:color="FFFFFF" w:sz="4" w:space="0"/>
              <w:bottom w:val="single" w:color="FFFFFF" w:sz="6" w:space="0"/>
            </w:tcBorders>
            <w:shd w:val="clear" w:color="auto" w:fill="B9E6FB"/>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kern w:val="2"/>
                <w:sz w:val="21"/>
                <w:szCs w:val="21"/>
                <w:lang w:val="en-US" w:eastAsia="zh-CN" w:bidi="ar-SA"/>
              </w:rPr>
            </w:pPr>
            <w:r>
              <w:rPr>
                <w:kern w:val="0"/>
                <w:sz w:val="21"/>
                <w:szCs w:val="21"/>
              </w:rPr>
              <w:t>20</w:t>
            </w:r>
          </w:p>
        </w:tc>
        <w:tc>
          <w:tcPr>
            <w:tcW w:w="1000" w:type="dxa"/>
            <w:tcBorders>
              <w:bottom w:val="single" w:color="FFFFFF" w:sz="6" w:space="0"/>
              <w:right w:val="single" w:color="FFFFFF" w:sz="6" w:space="0"/>
            </w:tcBorders>
            <w:shd w:val="clear" w:color="auto" w:fill="B9E6FB"/>
            <w:noWrap w:val="0"/>
            <w:vAlign w:val="center"/>
          </w:tcPr>
          <w:p>
            <w:pPr>
              <w:widowControl/>
              <w:jc w:val="center"/>
              <w:textAlignment w:val="center"/>
              <w:rPr>
                <w:rFonts w:hint="eastAsia" w:ascii="宋体" w:hAnsi="宋体"/>
                <w:bCs/>
                <w:color w:val="000000"/>
                <w:kern w:val="0"/>
                <w:sz w:val="21"/>
                <w:szCs w:val="21"/>
                <w:lang w:val="en-US" w:eastAsia="zh-CN" w:bidi="ar-SA"/>
              </w:rPr>
            </w:pPr>
            <w:r>
              <w:rPr>
                <w:rFonts w:hint="eastAsia" w:ascii="宋体" w:hAnsi="宋体"/>
                <w:bCs/>
                <w:color w:val="000000"/>
                <w:kern w:val="0"/>
                <w:sz w:val="21"/>
                <w:szCs w:val="21"/>
              </w:rPr>
              <w:t>稳定</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541" w:type="dxa"/>
            <w:shd w:val="clear" w:color="auto" w:fill="E2F4FD"/>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舟山普陀山千步沙</w:t>
            </w:r>
            <w:r>
              <w:rPr>
                <w:rFonts w:hint="eastAsia" w:ascii="Times New Roman" w:hAnsi="Times New Roman" w:eastAsia="宋体" w:cs="Times New Roman"/>
                <w:szCs w:val="21"/>
                <w:lang w:eastAsia="zh-CN"/>
              </w:rPr>
              <w:t>岸段</w:t>
            </w:r>
          </w:p>
        </w:tc>
        <w:tc>
          <w:tcPr>
            <w:tcW w:w="1605" w:type="dxa"/>
            <w:tcBorders>
              <w:right w:val="single" w:color="FFFFFF" w:sz="4" w:space="0"/>
            </w:tcBorders>
            <w:shd w:val="clear" w:color="auto" w:fill="E2F4FD"/>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粉砂淤泥质海岸</w:t>
            </w:r>
          </w:p>
        </w:tc>
        <w:tc>
          <w:tcPr>
            <w:tcW w:w="1335" w:type="dxa"/>
            <w:tcBorders>
              <w:right w:val="single" w:color="FFFFFF" w:sz="4" w:space="0"/>
            </w:tcBorders>
            <w:shd w:val="clear" w:color="auto" w:fill="E2F4FD"/>
            <w:noWrap w:val="0"/>
            <w:vAlign w:val="center"/>
          </w:tcPr>
          <w:p>
            <w:pPr>
              <w:widowControl/>
              <w:jc w:val="center"/>
              <w:textAlignment w:val="center"/>
              <w:rPr>
                <w:rFonts w:hint="eastAsia"/>
                <w:kern w:val="2"/>
                <w:sz w:val="21"/>
                <w:szCs w:val="21"/>
                <w:lang w:val="en-US" w:eastAsia="zh-CN" w:bidi="ar-SA"/>
              </w:rPr>
            </w:pPr>
            <w:r>
              <w:rPr>
                <w:kern w:val="0"/>
                <w:sz w:val="21"/>
                <w:szCs w:val="21"/>
              </w:rPr>
              <w:t>0.65</w:t>
            </w:r>
          </w:p>
        </w:tc>
        <w:tc>
          <w:tcPr>
            <w:tcW w:w="1530" w:type="dxa"/>
            <w:tcBorders>
              <w:right w:val="single" w:color="FFFFFF" w:sz="4" w:space="0"/>
            </w:tcBorders>
            <w:shd w:val="clear" w:color="auto" w:fill="E2F4FD"/>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rFonts w:hint="eastAsia" w:eastAsia="宋体"/>
                <w:kern w:val="2"/>
                <w:sz w:val="21"/>
                <w:szCs w:val="21"/>
                <w:lang w:val="en-US" w:eastAsia="zh" w:bidi="ar-SA"/>
              </w:rPr>
            </w:pPr>
            <w:r>
              <w:rPr>
                <w:kern w:val="0"/>
                <w:sz w:val="21"/>
                <w:szCs w:val="21"/>
              </w:rPr>
              <w:t>3</w:t>
            </w:r>
            <w:r>
              <w:rPr>
                <w:rFonts w:hint="eastAsia"/>
                <w:kern w:val="0"/>
                <w:sz w:val="21"/>
                <w:szCs w:val="21"/>
                <w:lang w:val="en-US" w:eastAsia="zh"/>
              </w:rPr>
              <w:t>2</w:t>
            </w:r>
          </w:p>
        </w:tc>
        <w:tc>
          <w:tcPr>
            <w:tcW w:w="1530" w:type="dxa"/>
            <w:tcBorders>
              <w:left w:val="single" w:color="FFFFFF" w:sz="4" w:space="0"/>
            </w:tcBorders>
            <w:shd w:val="clear" w:color="auto" w:fill="E2F4FD"/>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kern w:val="2"/>
                <w:sz w:val="21"/>
                <w:szCs w:val="21"/>
                <w:lang w:val="en-US" w:eastAsia="zh-CN" w:bidi="ar-SA"/>
              </w:rPr>
            </w:pPr>
            <w:r>
              <w:rPr>
                <w:kern w:val="0"/>
                <w:sz w:val="21"/>
                <w:szCs w:val="21"/>
              </w:rPr>
              <w:t>13</w:t>
            </w:r>
          </w:p>
        </w:tc>
        <w:tc>
          <w:tcPr>
            <w:tcW w:w="1000" w:type="dxa"/>
            <w:tcBorders>
              <w:right w:val="single" w:color="FFFFFF" w:sz="6" w:space="0"/>
            </w:tcBorders>
            <w:shd w:val="clear" w:color="auto" w:fill="E2F4FD"/>
            <w:noWrap w:val="0"/>
            <w:vAlign w:val="center"/>
          </w:tcPr>
          <w:p>
            <w:pPr>
              <w:widowControl/>
              <w:jc w:val="center"/>
              <w:textAlignment w:val="center"/>
              <w:rPr>
                <w:rFonts w:hint="eastAsia" w:ascii="宋体" w:hAnsi="宋体"/>
                <w:bCs/>
                <w:color w:val="000000"/>
                <w:kern w:val="0"/>
                <w:sz w:val="21"/>
                <w:szCs w:val="21"/>
                <w:lang w:val="en-US" w:eastAsia="zh-CN" w:bidi="ar-SA"/>
              </w:rPr>
            </w:pPr>
            <w:r>
              <w:rPr>
                <w:rFonts w:hint="eastAsia" w:ascii="宋体" w:hAnsi="宋体"/>
                <w:bCs/>
                <w:color w:val="000000"/>
                <w:kern w:val="0"/>
                <w:sz w:val="21"/>
                <w:szCs w:val="21"/>
              </w:rPr>
              <w:t>稳定</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541" w:type="dxa"/>
            <w:tcBorders>
              <w:bottom w:val="single" w:color="FFFFFF" w:sz="6" w:space="0"/>
            </w:tcBorders>
            <w:shd w:val="clear" w:color="auto" w:fill="B9E6FB"/>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嘉兴</w:t>
            </w:r>
            <w:r>
              <w:rPr>
                <w:rFonts w:hint="default" w:ascii="Times New Roman" w:hAnsi="Times New Roman" w:eastAsia="宋体" w:cs="Times New Roman"/>
                <w:szCs w:val="21"/>
              </w:rPr>
              <w:t>海宁尖山</w:t>
            </w:r>
            <w:r>
              <w:rPr>
                <w:rFonts w:hint="eastAsia" w:ascii="Times New Roman" w:hAnsi="Times New Roman" w:eastAsia="宋体" w:cs="Times New Roman"/>
                <w:szCs w:val="21"/>
              </w:rPr>
              <w:t>滩涂岸</w:t>
            </w:r>
            <w:r>
              <w:rPr>
                <w:rFonts w:hint="eastAsia" w:ascii="Times New Roman" w:hAnsi="Times New Roman" w:eastAsia="宋体" w:cs="Times New Roman"/>
                <w:szCs w:val="21"/>
                <w:lang w:eastAsia="zh-CN"/>
              </w:rPr>
              <w:t>段</w:t>
            </w:r>
          </w:p>
        </w:tc>
        <w:tc>
          <w:tcPr>
            <w:tcW w:w="1605" w:type="dxa"/>
            <w:tcBorders>
              <w:bottom w:val="single" w:color="FFFFFF" w:sz="6" w:space="0"/>
              <w:right w:val="single" w:color="FFFFFF" w:sz="4" w:space="0"/>
            </w:tcBorders>
            <w:shd w:val="clear" w:color="auto" w:fill="B9E6FB"/>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淤泥质海岸</w:t>
            </w:r>
          </w:p>
        </w:tc>
        <w:tc>
          <w:tcPr>
            <w:tcW w:w="1335" w:type="dxa"/>
            <w:tcBorders>
              <w:bottom w:val="single" w:color="FFFFFF" w:sz="6" w:space="0"/>
              <w:right w:val="single" w:color="FFFFFF" w:sz="4" w:space="0"/>
            </w:tcBorders>
            <w:shd w:val="clear" w:color="auto" w:fill="B9E6FB"/>
            <w:noWrap w:val="0"/>
            <w:vAlign w:val="center"/>
          </w:tcPr>
          <w:p>
            <w:pPr>
              <w:widowControl/>
              <w:jc w:val="center"/>
              <w:textAlignment w:val="center"/>
              <w:rPr>
                <w:rFonts w:hint="eastAsia" w:eastAsia="宋体"/>
                <w:kern w:val="2"/>
                <w:sz w:val="21"/>
                <w:szCs w:val="21"/>
                <w:lang w:val="en-US" w:eastAsia="zh" w:bidi="ar-SA"/>
              </w:rPr>
            </w:pPr>
            <w:r>
              <w:rPr>
                <w:kern w:val="0"/>
                <w:sz w:val="21"/>
                <w:szCs w:val="21"/>
              </w:rPr>
              <w:t>0.9</w:t>
            </w:r>
            <w:r>
              <w:rPr>
                <w:rFonts w:hint="eastAsia"/>
                <w:kern w:val="0"/>
                <w:sz w:val="21"/>
                <w:szCs w:val="21"/>
                <w:lang w:val="en-US" w:eastAsia="zh"/>
              </w:rPr>
              <w:t>9</w:t>
            </w:r>
          </w:p>
        </w:tc>
        <w:tc>
          <w:tcPr>
            <w:tcW w:w="1530" w:type="dxa"/>
            <w:tcBorders>
              <w:bottom w:val="single" w:color="FFFFFF" w:sz="6" w:space="0"/>
              <w:right w:val="single" w:color="FFFFFF" w:sz="4" w:space="0"/>
            </w:tcBorders>
            <w:shd w:val="clear" w:color="auto" w:fill="B9E6FB"/>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rFonts w:hint="eastAsia"/>
                <w:kern w:val="2"/>
                <w:sz w:val="21"/>
                <w:szCs w:val="21"/>
                <w:lang w:val="en-US" w:eastAsia="zh-CN" w:bidi="ar-SA"/>
              </w:rPr>
            </w:pPr>
            <w:r>
              <w:rPr>
                <w:kern w:val="0"/>
                <w:sz w:val="21"/>
                <w:szCs w:val="21"/>
              </w:rPr>
              <w:t>0</w:t>
            </w:r>
          </w:p>
        </w:tc>
        <w:tc>
          <w:tcPr>
            <w:tcW w:w="1530" w:type="dxa"/>
            <w:tcBorders>
              <w:left w:val="single" w:color="FFFFFF" w:sz="4" w:space="0"/>
              <w:bottom w:val="single" w:color="FFFFFF" w:sz="6" w:space="0"/>
            </w:tcBorders>
            <w:shd w:val="clear" w:color="auto" w:fill="B9E6FB"/>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kern w:val="2"/>
                <w:sz w:val="21"/>
                <w:szCs w:val="21"/>
                <w:lang w:val="en-US" w:eastAsia="zh-CN" w:bidi="ar-SA"/>
              </w:rPr>
            </w:pPr>
            <w:r>
              <w:rPr>
                <w:rFonts w:hint="eastAsia"/>
                <w:kern w:val="0"/>
                <w:sz w:val="21"/>
                <w:szCs w:val="21"/>
              </w:rPr>
              <w:t>-50</w:t>
            </w:r>
          </w:p>
        </w:tc>
        <w:tc>
          <w:tcPr>
            <w:tcW w:w="1000" w:type="dxa"/>
            <w:tcBorders>
              <w:bottom w:val="single" w:color="FFFFFF" w:sz="6" w:space="0"/>
              <w:right w:val="single" w:color="FFFFFF" w:sz="6" w:space="0"/>
            </w:tcBorders>
            <w:shd w:val="clear" w:color="auto" w:fill="B9E6FB"/>
            <w:noWrap w:val="0"/>
            <w:vAlign w:val="center"/>
          </w:tcPr>
          <w:p>
            <w:pPr>
              <w:widowControl/>
              <w:jc w:val="center"/>
              <w:textAlignment w:val="center"/>
              <w:rPr>
                <w:rFonts w:hint="eastAsia" w:ascii="宋体" w:hAnsi="宋体"/>
                <w:bCs/>
                <w:color w:val="000000"/>
                <w:kern w:val="0"/>
                <w:sz w:val="21"/>
                <w:szCs w:val="21"/>
                <w:lang w:val="en-US" w:eastAsia="zh-CN" w:bidi="ar-SA"/>
              </w:rPr>
            </w:pPr>
            <w:r>
              <w:rPr>
                <w:rFonts w:hint="eastAsia" w:ascii="宋体" w:hAnsi="宋体"/>
                <w:bCs/>
                <w:color w:val="000000"/>
                <w:kern w:val="0"/>
                <w:sz w:val="21"/>
                <w:szCs w:val="21"/>
              </w:rPr>
              <w:t>稳定</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541" w:type="dxa"/>
            <w:shd w:val="clear" w:color="auto" w:fill="E2F4FD"/>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舟山桃花岛塔湾金沙</w:t>
            </w:r>
            <w:r>
              <w:rPr>
                <w:rFonts w:hint="eastAsia" w:ascii="Times New Roman" w:hAnsi="Times New Roman" w:eastAsia="宋体" w:cs="Times New Roman"/>
                <w:szCs w:val="21"/>
                <w:lang w:eastAsia="zh-CN"/>
              </w:rPr>
              <w:t>岸段</w:t>
            </w:r>
          </w:p>
        </w:tc>
        <w:tc>
          <w:tcPr>
            <w:tcW w:w="1605" w:type="dxa"/>
            <w:tcBorders>
              <w:right w:val="single" w:color="FFFFFF" w:sz="4" w:space="0"/>
            </w:tcBorders>
            <w:shd w:val="clear" w:color="auto" w:fill="E2F4FD"/>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砂质海岸</w:t>
            </w:r>
          </w:p>
        </w:tc>
        <w:tc>
          <w:tcPr>
            <w:tcW w:w="1335" w:type="dxa"/>
            <w:tcBorders>
              <w:right w:val="single" w:color="FFFFFF" w:sz="4" w:space="0"/>
            </w:tcBorders>
            <w:shd w:val="clear" w:color="auto" w:fill="E2F4FD"/>
            <w:noWrap w:val="0"/>
            <w:vAlign w:val="center"/>
          </w:tcPr>
          <w:p>
            <w:pPr>
              <w:widowControl/>
              <w:jc w:val="center"/>
              <w:textAlignment w:val="center"/>
              <w:rPr>
                <w:rFonts w:hint="eastAsia"/>
                <w:kern w:val="2"/>
                <w:sz w:val="21"/>
                <w:szCs w:val="21"/>
                <w:lang w:val="en-US" w:eastAsia="zh-CN" w:bidi="ar-SA"/>
              </w:rPr>
            </w:pPr>
            <w:r>
              <w:rPr>
                <w:kern w:val="0"/>
                <w:sz w:val="21"/>
                <w:szCs w:val="21"/>
              </w:rPr>
              <w:t>1.37</w:t>
            </w:r>
          </w:p>
        </w:tc>
        <w:tc>
          <w:tcPr>
            <w:tcW w:w="1530" w:type="dxa"/>
            <w:tcBorders>
              <w:right w:val="single" w:color="FFFFFF" w:sz="4" w:space="0"/>
            </w:tcBorders>
            <w:shd w:val="clear" w:color="auto" w:fill="E2F4FD"/>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rFonts w:hint="eastAsia"/>
                <w:kern w:val="2"/>
                <w:sz w:val="21"/>
                <w:szCs w:val="21"/>
                <w:lang w:val="en-US" w:eastAsia="zh-CN" w:bidi="ar-SA"/>
              </w:rPr>
            </w:pPr>
            <w:r>
              <w:rPr>
                <w:kern w:val="0"/>
                <w:sz w:val="21"/>
                <w:szCs w:val="21"/>
              </w:rPr>
              <w:t>0</w:t>
            </w:r>
          </w:p>
        </w:tc>
        <w:tc>
          <w:tcPr>
            <w:tcW w:w="1530" w:type="dxa"/>
            <w:tcBorders>
              <w:left w:val="single" w:color="FFFFFF" w:sz="4" w:space="0"/>
            </w:tcBorders>
            <w:shd w:val="clear" w:color="auto" w:fill="E2F4FD"/>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kern w:val="2"/>
                <w:sz w:val="21"/>
                <w:szCs w:val="21"/>
                <w:lang w:val="en-US" w:eastAsia="zh-CN" w:bidi="ar-SA"/>
              </w:rPr>
            </w:pPr>
            <w:r>
              <w:rPr>
                <w:rFonts w:hint="eastAsia"/>
                <w:kern w:val="0"/>
                <w:sz w:val="21"/>
                <w:szCs w:val="21"/>
              </w:rPr>
              <w:t>0</w:t>
            </w:r>
          </w:p>
        </w:tc>
        <w:tc>
          <w:tcPr>
            <w:tcW w:w="1000" w:type="dxa"/>
            <w:tcBorders>
              <w:right w:val="single" w:color="FFFFFF" w:sz="6" w:space="0"/>
            </w:tcBorders>
            <w:shd w:val="clear" w:color="auto" w:fill="E2F4FD"/>
            <w:noWrap w:val="0"/>
            <w:vAlign w:val="center"/>
          </w:tcPr>
          <w:p>
            <w:pPr>
              <w:widowControl/>
              <w:jc w:val="center"/>
              <w:textAlignment w:val="center"/>
              <w:rPr>
                <w:rFonts w:hint="eastAsia" w:ascii="微软雅黑" w:hAnsi="微软雅黑" w:eastAsia="微软雅黑"/>
                <w:kern w:val="2"/>
                <w:sz w:val="21"/>
                <w:szCs w:val="21"/>
                <w:lang w:val="en-US" w:eastAsia="zh-CN" w:bidi="ar-SA"/>
              </w:rPr>
            </w:pPr>
            <w:r>
              <w:rPr>
                <w:rFonts w:hint="eastAsia" w:ascii="微软雅黑" w:hAnsi="微软雅黑" w:eastAsia="微软雅黑"/>
                <w:sz w:val="21"/>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541" w:type="dxa"/>
            <w:tcBorders>
              <w:bottom w:val="single" w:color="FFFFFF" w:sz="6" w:space="0"/>
            </w:tcBorders>
            <w:shd w:val="clear" w:color="auto" w:fill="B9E6FB"/>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舟山桃花岛学耕塘外滩</w:t>
            </w:r>
          </w:p>
        </w:tc>
        <w:tc>
          <w:tcPr>
            <w:tcW w:w="1605" w:type="dxa"/>
            <w:tcBorders>
              <w:bottom w:val="single" w:color="FFFFFF" w:sz="6" w:space="0"/>
              <w:right w:val="single" w:color="FFFFFF" w:sz="4" w:space="0"/>
            </w:tcBorders>
            <w:shd w:val="clear" w:color="auto" w:fill="B9E6FB"/>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淤泥质海岸</w:t>
            </w:r>
          </w:p>
        </w:tc>
        <w:tc>
          <w:tcPr>
            <w:tcW w:w="1335" w:type="dxa"/>
            <w:tcBorders>
              <w:bottom w:val="single" w:color="FFFFFF" w:sz="6" w:space="0"/>
              <w:right w:val="single" w:color="FFFFFF" w:sz="4" w:space="0"/>
            </w:tcBorders>
            <w:shd w:val="clear" w:color="auto" w:fill="B9E6FB"/>
            <w:noWrap w:val="0"/>
            <w:vAlign w:val="center"/>
          </w:tcPr>
          <w:p>
            <w:pPr>
              <w:widowControl/>
              <w:jc w:val="center"/>
              <w:textAlignment w:val="center"/>
              <w:rPr>
                <w:rFonts w:hint="eastAsia"/>
                <w:kern w:val="2"/>
                <w:sz w:val="21"/>
                <w:szCs w:val="21"/>
                <w:lang w:val="en-US" w:eastAsia="zh-CN" w:bidi="ar-SA"/>
              </w:rPr>
            </w:pPr>
            <w:r>
              <w:rPr>
                <w:kern w:val="0"/>
                <w:sz w:val="21"/>
                <w:szCs w:val="21"/>
              </w:rPr>
              <w:t>1.44</w:t>
            </w:r>
          </w:p>
        </w:tc>
        <w:tc>
          <w:tcPr>
            <w:tcW w:w="1530" w:type="dxa"/>
            <w:tcBorders>
              <w:bottom w:val="single" w:color="FFFFFF" w:sz="6" w:space="0"/>
              <w:right w:val="single" w:color="FFFFFF" w:sz="4" w:space="0"/>
            </w:tcBorders>
            <w:shd w:val="clear" w:color="auto" w:fill="B9E6FB"/>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rFonts w:hint="eastAsia"/>
                <w:kern w:val="2"/>
                <w:sz w:val="21"/>
                <w:szCs w:val="21"/>
                <w:lang w:val="en-US" w:eastAsia="zh-CN" w:bidi="ar-SA"/>
              </w:rPr>
            </w:pPr>
            <w:r>
              <w:rPr>
                <w:kern w:val="0"/>
                <w:sz w:val="21"/>
                <w:szCs w:val="21"/>
              </w:rPr>
              <w:t>0</w:t>
            </w:r>
          </w:p>
        </w:tc>
        <w:tc>
          <w:tcPr>
            <w:tcW w:w="1530" w:type="dxa"/>
            <w:tcBorders>
              <w:left w:val="single" w:color="FFFFFF" w:sz="4" w:space="0"/>
              <w:bottom w:val="single" w:color="FFFFFF" w:sz="6" w:space="0"/>
            </w:tcBorders>
            <w:shd w:val="clear" w:color="auto" w:fill="B9E6FB"/>
            <w:noWrap w:val="0"/>
            <w:vAlign w:val="center"/>
          </w:tcPr>
          <w:p>
            <w:pPr>
              <w:keepNext w:val="0"/>
              <w:keepLines w:val="0"/>
              <w:pageBreakBefore w:val="0"/>
              <w:widowControl/>
              <w:kinsoku/>
              <w:wordWrap/>
              <w:overflowPunct/>
              <w:topLinePunct w:val="0"/>
              <w:autoSpaceDE/>
              <w:autoSpaceDN/>
              <w:bidi w:val="0"/>
              <w:adjustRightInd/>
              <w:snapToGrid/>
              <w:ind w:right="630" w:rightChars="300"/>
              <w:jc w:val="right"/>
              <w:textAlignment w:val="center"/>
              <w:rPr>
                <w:kern w:val="2"/>
                <w:sz w:val="21"/>
                <w:szCs w:val="21"/>
                <w:lang w:val="en-US" w:eastAsia="zh-CN" w:bidi="ar-SA"/>
              </w:rPr>
            </w:pPr>
            <w:r>
              <w:rPr>
                <w:rFonts w:hint="eastAsia"/>
                <w:kern w:val="0"/>
                <w:sz w:val="21"/>
                <w:szCs w:val="21"/>
              </w:rPr>
              <w:t>0</w:t>
            </w:r>
          </w:p>
        </w:tc>
        <w:tc>
          <w:tcPr>
            <w:tcW w:w="1000" w:type="dxa"/>
            <w:tcBorders>
              <w:bottom w:val="single" w:color="FFFFFF" w:sz="6" w:space="0"/>
              <w:right w:val="single" w:color="FFFFFF" w:sz="6" w:space="0"/>
            </w:tcBorders>
            <w:shd w:val="clear" w:color="auto" w:fill="B9E6FB"/>
            <w:noWrap w:val="0"/>
            <w:vAlign w:val="center"/>
          </w:tcPr>
          <w:p>
            <w:pPr>
              <w:widowControl/>
              <w:jc w:val="center"/>
              <w:textAlignment w:val="center"/>
              <w:rPr>
                <w:rFonts w:hint="eastAsia" w:ascii="微软雅黑" w:hAnsi="微软雅黑" w:eastAsia="微软雅黑"/>
                <w:kern w:val="2"/>
                <w:sz w:val="21"/>
                <w:szCs w:val="21"/>
                <w:lang w:val="en-US" w:eastAsia="zh-CN" w:bidi="ar-SA"/>
              </w:rPr>
            </w:pPr>
            <w:r>
              <w:rPr>
                <w:rFonts w:hint="eastAsia" w:ascii="微软雅黑" w:hAnsi="微软雅黑" w:eastAsia="微软雅黑"/>
                <w:kern w:val="0"/>
                <w:sz w:val="21"/>
                <w:szCs w:val="21"/>
              </w:rPr>
              <w:t>—</w:t>
            </w:r>
          </w:p>
        </w:tc>
      </w:tr>
    </w:tbl>
    <w:p>
      <w:pPr>
        <w:adjustRightInd w:val="0"/>
        <w:snapToGrid w:val="0"/>
        <w:jc w:val="left"/>
        <w:rPr>
          <w:rFonts w:hint="default" w:ascii="Times New Roman" w:hAnsi="Times New Roman" w:eastAsia="宋体" w:cs="Times New Roman"/>
          <w:b w:val="0"/>
          <w:bCs w:val="0"/>
          <w:color w:val="auto"/>
          <w:szCs w:val="21"/>
          <w:lang w:val="en-US" w:eastAsia="zh-CN"/>
        </w:rPr>
      </w:pPr>
      <w:r>
        <w:rPr>
          <w:rFonts w:ascii="宋体" w:hAnsi="宋体"/>
          <w:color w:val="auto"/>
          <w:szCs w:val="18"/>
        </w:rPr>
        <w:t>注：</w:t>
      </w:r>
      <w:r>
        <w:rPr>
          <w:rFonts w:hint="eastAsia" w:ascii="Times New Roman" w:hAnsi="Times New Roman" w:eastAsia="宋体" w:cs="Times New Roman"/>
          <w:b w:val="0"/>
          <w:bCs w:val="0"/>
          <w:color w:val="auto"/>
          <w:szCs w:val="21"/>
        </w:rPr>
        <w:t>岸线蚀退距离</w:t>
      </w:r>
      <w:r>
        <w:rPr>
          <w:rFonts w:hint="eastAsia" w:ascii="Times New Roman" w:hAnsi="Times New Roman" w:eastAsia="宋体" w:cs="Times New Roman"/>
          <w:b w:val="0"/>
          <w:bCs w:val="0"/>
          <w:color w:val="auto"/>
          <w:szCs w:val="21"/>
          <w:lang w:eastAsia="zh-CN"/>
        </w:rPr>
        <w:t>中蚀退为正值，淤进为负值；滩面下蚀高度中下蚀为正值，淤积为负值</w:t>
      </w:r>
      <w:r>
        <w:rPr>
          <w:rFonts w:hint="eastAsia" w:ascii="宋体" w:hAnsi="宋体"/>
          <w:color w:val="auto"/>
          <w:szCs w:val="18"/>
        </w:rPr>
        <w:t>。</w:t>
      </w:r>
      <w:r>
        <w:rPr>
          <w:rFonts w:hint="eastAsia" w:ascii="Times New Roman" w:hAnsi="Times New Roman" w:eastAsia="宋体" w:cs="Times New Roman"/>
          <w:b w:val="0"/>
          <w:bCs w:val="0"/>
          <w:color w:val="auto"/>
          <w:szCs w:val="21"/>
          <w:lang w:eastAsia="zh-CN"/>
        </w:rPr>
        <w:t>舟山桃花岛塔湾金沙和桃花岛学耕塘外滩岸段为</w:t>
      </w:r>
      <w:r>
        <w:rPr>
          <w:rFonts w:hint="eastAsia" w:ascii="Times New Roman" w:hAnsi="Times New Roman" w:eastAsia="宋体" w:cs="Times New Roman"/>
          <w:b w:val="0"/>
          <w:bCs w:val="0"/>
          <w:color w:val="auto"/>
          <w:szCs w:val="21"/>
          <w:lang w:val="en-US" w:eastAsia="zh-CN"/>
        </w:rPr>
        <w:t>2022年新增监测岸段，无侵蚀强度。</w:t>
      </w:r>
    </w:p>
    <w:p>
      <w:pPr>
        <w:spacing w:before="156" w:beforeLines="50"/>
        <w:ind w:firstLine="573"/>
        <w:rPr>
          <w:rFonts w:hint="eastAsia"/>
          <w:color w:val="FF0000"/>
          <w:sz w:val="30"/>
          <w:szCs w:val="30"/>
        </w:rPr>
      </w:pPr>
    </w:p>
    <w:p>
      <w:pPr>
        <w:keepNext/>
        <w:spacing w:after="156" w:afterLines="50" w:line="360" w:lineRule="auto"/>
        <w:jc w:val="center"/>
        <w:rPr>
          <w:color w:val="FF0000"/>
          <w:sz w:val="24"/>
        </w:rPr>
      </w:pPr>
      <w:r>
        <w:drawing>
          <wp:inline distT="0" distB="0" distL="114300" distR="114300">
            <wp:extent cx="5396865" cy="2534285"/>
            <wp:effectExtent l="0" t="0" r="13335" b="18415"/>
            <wp:docPr id="18"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40"/>
                    <pic:cNvPicPr>
                      <a:picLocks noChangeAspect="true"/>
                    </pic:cNvPicPr>
                  </pic:nvPicPr>
                  <pic:blipFill>
                    <a:blip r:embed="rId28"/>
                    <a:stretch>
                      <a:fillRect/>
                    </a:stretch>
                  </pic:blipFill>
                  <pic:spPr>
                    <a:xfrm>
                      <a:off x="0" y="0"/>
                      <a:ext cx="5396865" cy="2534285"/>
                    </a:xfrm>
                    <a:prstGeom prst="rect">
                      <a:avLst/>
                    </a:prstGeom>
                    <a:noFill/>
                    <a:ln>
                      <a:noFill/>
                    </a:ln>
                  </pic:spPr>
                </pic:pic>
              </a:graphicData>
            </a:graphic>
          </wp:inline>
        </w:drawing>
      </w:r>
    </w:p>
    <w:p>
      <w:pPr>
        <w:jc w:val="center"/>
        <w:rPr>
          <w:rFonts w:hint="eastAsia"/>
          <w:sz w:val="24"/>
        </w:rPr>
      </w:pPr>
      <w:r>
        <w:rPr>
          <w:rFonts w:hint="eastAsia"/>
          <w:sz w:val="24"/>
        </w:rPr>
        <w:t>图</w:t>
      </w:r>
      <w:r>
        <w:rPr>
          <w:rFonts w:hint="eastAsia"/>
          <w:sz w:val="24"/>
          <w:lang w:val="en-US" w:eastAsia="zh-CN"/>
        </w:rPr>
        <w:t>12</w:t>
      </w:r>
      <w:r>
        <w:rPr>
          <w:rFonts w:hint="eastAsia"/>
          <w:sz w:val="24"/>
        </w:rPr>
        <w:t xml:space="preserve"> 朱家尖大青山千沙岸段岸滩侵蚀</w:t>
      </w:r>
    </w:p>
    <w:p>
      <w:pPr>
        <w:pStyle w:val="2"/>
        <w:spacing w:before="0" w:after="0" w:line="240" w:lineRule="auto"/>
        <w:rPr>
          <w:rFonts w:ascii="黑体" w:hAnsi="黑体" w:eastAsia="黑体"/>
        </w:rPr>
      </w:pPr>
      <w:r>
        <w:rPr>
          <w:rFonts w:ascii="宋体" w:hAnsi="宋体" w:cs="宋体"/>
          <w:color w:val="FF0000"/>
          <w:kern w:val="0"/>
          <w:sz w:val="24"/>
        </w:rPr>
        <w:br w:type="page"/>
      </w:r>
      <w:bookmarkEnd w:id="13"/>
      <w:bookmarkEnd w:id="14"/>
      <w:bookmarkStart w:id="22" w:name="_Toc344382695"/>
      <w:bookmarkStart w:id="23" w:name="_Toc314748387"/>
      <w:bookmarkStart w:id="24" w:name="_Toc189238269"/>
      <w:bookmarkStart w:id="25" w:name="_Toc314522427"/>
      <w:bookmarkStart w:id="26" w:name="_Toc344382700"/>
      <w:bookmarkStart w:id="27" w:name="_Toc314748393"/>
      <w:bookmarkStart w:id="28" w:name="_Toc312940958"/>
      <w:r>
        <w:rPr>
          <w:rFonts w:hint="eastAsia" w:ascii="黑体" w:hAnsi="黑体" w:eastAsia="黑体"/>
        </w:rPr>
        <w:t>八</w:t>
      </w:r>
      <w:r>
        <w:rPr>
          <w:rFonts w:ascii="黑体" w:hAnsi="黑体" w:eastAsia="黑体"/>
        </w:rPr>
        <w:t>、海啸灾害</w:t>
      </w:r>
      <w:bookmarkEnd w:id="22"/>
      <w:bookmarkEnd w:id="23"/>
      <w:bookmarkEnd w:id="24"/>
    </w:p>
    <w:p>
      <w:pPr>
        <w:spacing w:before="156" w:beforeLines="50" w:line="360" w:lineRule="auto"/>
        <w:ind w:firstLine="600" w:firstLineChars="200"/>
        <w:rPr>
          <w:rFonts w:hint="eastAsia"/>
          <w:sz w:val="30"/>
          <w:szCs w:val="30"/>
        </w:rPr>
      </w:pPr>
      <w:r>
        <w:rPr>
          <w:sz w:val="30"/>
          <w:szCs w:val="30"/>
        </w:rPr>
        <w:t>20</w:t>
      </w:r>
      <w:r>
        <w:rPr>
          <w:rFonts w:hint="eastAsia"/>
          <w:sz w:val="30"/>
          <w:szCs w:val="30"/>
        </w:rPr>
        <w:t>22年，</w:t>
      </w:r>
      <w:r>
        <w:rPr>
          <w:sz w:val="30"/>
          <w:szCs w:val="30"/>
        </w:rPr>
        <w:t>自然资源部海啸预警中心</w:t>
      </w:r>
      <w:r>
        <w:rPr>
          <w:rFonts w:hint="eastAsia"/>
          <w:sz w:val="30"/>
          <w:szCs w:val="30"/>
        </w:rPr>
        <w:t>（南中国海区域海啸预警中心）</w:t>
      </w:r>
      <w:r>
        <w:rPr>
          <w:sz w:val="30"/>
          <w:szCs w:val="30"/>
        </w:rPr>
        <w:t>对发生在全球海域的</w:t>
      </w:r>
      <w:r>
        <w:rPr>
          <w:rFonts w:hint="eastAsia"/>
          <w:sz w:val="30"/>
          <w:szCs w:val="30"/>
        </w:rPr>
        <w:t>46</w:t>
      </w:r>
      <w:r>
        <w:rPr>
          <w:sz w:val="30"/>
          <w:szCs w:val="30"/>
        </w:rPr>
        <w:t>次海底地震</w:t>
      </w:r>
      <w:r>
        <w:rPr>
          <w:rFonts w:hint="eastAsia"/>
          <w:sz w:val="30"/>
          <w:szCs w:val="30"/>
        </w:rPr>
        <w:t>（详见图</w:t>
      </w:r>
      <w:r>
        <w:rPr>
          <w:rFonts w:hint="eastAsia"/>
          <w:sz w:val="30"/>
          <w:szCs w:val="30"/>
          <w:lang w:val="en-US" w:eastAsia="zh-CN"/>
        </w:rPr>
        <w:t>13</w:t>
      </w:r>
      <w:r>
        <w:rPr>
          <w:rFonts w:hint="eastAsia"/>
          <w:sz w:val="30"/>
          <w:szCs w:val="30"/>
        </w:rPr>
        <w:t>）</w:t>
      </w:r>
      <w:r>
        <w:rPr>
          <w:sz w:val="30"/>
          <w:szCs w:val="30"/>
        </w:rPr>
        <w:t>共发布了</w:t>
      </w:r>
      <w:r>
        <w:rPr>
          <w:rFonts w:hint="eastAsia"/>
          <w:sz w:val="30"/>
          <w:szCs w:val="30"/>
        </w:rPr>
        <w:t>92</w:t>
      </w:r>
      <w:r>
        <w:rPr>
          <w:sz w:val="30"/>
          <w:szCs w:val="30"/>
        </w:rPr>
        <w:t>期海啸信息。</w:t>
      </w:r>
      <w:r>
        <w:rPr>
          <w:rFonts w:hint="eastAsia"/>
          <w:sz w:val="30"/>
          <w:szCs w:val="30"/>
        </w:rPr>
        <w:t>根据监测数据分析，其中7次海底地震和1次火山爆发（见表</w:t>
      </w:r>
      <w:r>
        <w:rPr>
          <w:rFonts w:hint="eastAsia"/>
          <w:sz w:val="30"/>
          <w:szCs w:val="30"/>
          <w:lang w:val="en-US" w:eastAsia="zh-CN"/>
        </w:rPr>
        <w:t>10</w:t>
      </w:r>
      <w:r>
        <w:rPr>
          <w:rFonts w:hint="eastAsia"/>
          <w:sz w:val="30"/>
          <w:szCs w:val="30"/>
        </w:rPr>
        <w:t>）引发了海啸，8次海啸事件均发生在</w:t>
      </w:r>
      <w:r>
        <w:rPr>
          <w:sz w:val="30"/>
          <w:szCs w:val="30"/>
        </w:rPr>
        <w:t>太平洋范围内</w:t>
      </w:r>
      <w:r>
        <w:rPr>
          <w:rFonts w:hint="eastAsia"/>
          <w:sz w:val="30"/>
          <w:szCs w:val="30"/>
        </w:rPr>
        <w:t>。</w:t>
      </w:r>
      <w:r>
        <w:rPr>
          <w:sz w:val="30"/>
          <w:szCs w:val="30"/>
        </w:rPr>
        <w:t>其中，</w:t>
      </w:r>
      <w:r>
        <w:rPr>
          <w:rFonts w:hint="eastAsia"/>
          <w:sz w:val="30"/>
          <w:szCs w:val="30"/>
        </w:rPr>
        <w:t>汤加海域火山爆发</w:t>
      </w:r>
      <w:r>
        <w:rPr>
          <w:sz w:val="30"/>
          <w:szCs w:val="30"/>
        </w:rPr>
        <w:t>中监测到最大波幅</w:t>
      </w:r>
      <w:r>
        <w:rPr>
          <w:rFonts w:hint="eastAsia"/>
          <w:sz w:val="30"/>
          <w:szCs w:val="30"/>
        </w:rPr>
        <w:t>达1.54</w:t>
      </w:r>
      <w:r>
        <w:rPr>
          <w:sz w:val="30"/>
          <w:szCs w:val="30"/>
        </w:rPr>
        <w:t>米的海啸波</w:t>
      </w:r>
      <w:r>
        <w:rPr>
          <w:rFonts w:hint="eastAsia"/>
          <w:sz w:val="30"/>
          <w:szCs w:val="30"/>
        </w:rPr>
        <w:t>。以上海啸事件我省近岸海洋观测站均未观测到海啸波，均未对我省产生</w:t>
      </w:r>
      <w:r>
        <w:rPr>
          <w:rFonts w:hint="eastAsia"/>
          <w:sz w:val="30"/>
          <w:szCs w:val="30"/>
          <w:lang w:eastAsia="zh-CN"/>
        </w:rPr>
        <w:t>明显</w:t>
      </w:r>
      <w:r>
        <w:rPr>
          <w:rFonts w:hint="eastAsia"/>
          <w:sz w:val="30"/>
          <w:szCs w:val="30"/>
        </w:rPr>
        <w:t>影响。</w:t>
      </w:r>
    </w:p>
    <w:p>
      <w:pPr>
        <w:jc w:val="center"/>
      </w:pPr>
    </w:p>
    <w:p>
      <w:pPr>
        <w:jc w:val="center"/>
      </w:pPr>
    </w:p>
    <w:p>
      <w:pPr>
        <w:jc w:val="center"/>
        <w:rPr>
          <w:rFonts w:hint="eastAsia"/>
          <w:b/>
          <w:sz w:val="24"/>
        </w:rPr>
      </w:pPr>
      <w:r>
        <w:drawing>
          <wp:inline distT="0" distB="0" distL="114300" distR="114300">
            <wp:extent cx="2450465" cy="5508625"/>
            <wp:effectExtent l="0" t="0" r="15875" b="6985"/>
            <wp:docPr id="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true"/>
                    </pic:cNvPicPr>
                  </pic:nvPicPr>
                  <pic:blipFill>
                    <a:blip r:embed="rId29"/>
                    <a:stretch>
                      <a:fillRect/>
                    </a:stretch>
                  </pic:blipFill>
                  <pic:spPr>
                    <a:xfrm rot="5400000">
                      <a:off x="0" y="0"/>
                      <a:ext cx="2450465" cy="5508625"/>
                    </a:xfrm>
                    <a:prstGeom prst="rect">
                      <a:avLst/>
                    </a:prstGeom>
                    <a:noFill/>
                    <a:ln>
                      <a:noFill/>
                    </a:ln>
                  </pic:spPr>
                </pic:pic>
              </a:graphicData>
            </a:graphic>
          </wp:inline>
        </w:drawing>
      </w:r>
    </w:p>
    <w:p>
      <w:pPr>
        <w:spacing w:line="360" w:lineRule="auto"/>
        <w:jc w:val="center"/>
        <w:rPr>
          <w:rFonts w:hint="eastAsia" w:hAnsi="宋体"/>
          <w:sz w:val="24"/>
        </w:rPr>
      </w:pPr>
      <w:r>
        <w:rPr>
          <w:rFonts w:hAnsi="宋体"/>
          <w:sz w:val="24"/>
        </w:rPr>
        <w:t>图</w:t>
      </w:r>
      <w:r>
        <w:rPr>
          <w:rFonts w:hint="eastAsia" w:hAnsi="宋体"/>
          <w:sz w:val="24"/>
          <w:lang w:val="en-US" w:eastAsia="zh-CN"/>
        </w:rPr>
        <w:t>13</w:t>
      </w:r>
      <w:r>
        <w:rPr>
          <w:rFonts w:hAnsi="宋体"/>
          <w:sz w:val="24"/>
        </w:rPr>
        <w:t xml:space="preserve">  202</w:t>
      </w:r>
      <w:r>
        <w:rPr>
          <w:rFonts w:hint="eastAsia" w:hAnsi="宋体"/>
          <w:sz w:val="24"/>
        </w:rPr>
        <w:t>2年我国发布的海啸信息地震源和火山爆发点分布</w:t>
      </w:r>
    </w:p>
    <w:p>
      <w:pPr>
        <w:spacing w:line="360" w:lineRule="auto"/>
        <w:jc w:val="center"/>
        <w:rPr>
          <w:rFonts w:hint="eastAsia" w:hAnsi="宋体"/>
          <w:sz w:val="24"/>
        </w:rPr>
      </w:pPr>
      <w:r>
        <w:rPr>
          <w:rFonts w:hint="eastAsia" w:hAnsi="宋体"/>
          <w:sz w:val="24"/>
        </w:rPr>
        <w:t>（资料来源：</w:t>
      </w:r>
      <w:r>
        <w:rPr>
          <w:rFonts w:hint="eastAsia" w:hAnsi="宋体"/>
          <w:sz w:val="24"/>
          <w:lang w:eastAsia="zh-CN"/>
        </w:rPr>
        <w:t>《</w:t>
      </w:r>
      <w:r>
        <w:rPr>
          <w:rFonts w:hint="eastAsia" w:hAnsi="宋体"/>
          <w:sz w:val="24"/>
          <w:lang w:val="en-US" w:eastAsia="zh-CN"/>
        </w:rPr>
        <w:t>2022年中国海洋灾害公报</w:t>
      </w:r>
      <w:r>
        <w:rPr>
          <w:rFonts w:hint="eastAsia" w:hAnsi="宋体"/>
          <w:sz w:val="24"/>
          <w:lang w:eastAsia="zh-CN"/>
        </w:rPr>
        <w:t>》</w:t>
      </w:r>
      <w:r>
        <w:rPr>
          <w:rFonts w:hint="eastAsia" w:hAnsi="宋体"/>
          <w:sz w:val="24"/>
        </w:rPr>
        <w:t>）</w:t>
      </w:r>
    </w:p>
    <w:p>
      <w:pPr>
        <w:spacing w:line="360" w:lineRule="auto"/>
        <w:jc w:val="center"/>
        <w:rPr>
          <w:rFonts w:hint="eastAsia"/>
          <w:color w:val="FF0000"/>
        </w:rPr>
      </w:pPr>
    </w:p>
    <w:p>
      <w:pPr>
        <w:spacing w:line="360" w:lineRule="auto"/>
        <w:jc w:val="center"/>
        <w:rPr>
          <w:rFonts w:hint="eastAsia"/>
          <w:color w:val="FF0000"/>
        </w:rPr>
      </w:pPr>
    </w:p>
    <w:p>
      <w:pPr>
        <w:spacing w:line="360" w:lineRule="auto"/>
        <w:jc w:val="center"/>
        <w:rPr>
          <w:rFonts w:hint="eastAsia"/>
          <w:color w:val="FF0000"/>
          <w:sz w:val="24"/>
        </w:rPr>
      </w:pPr>
    </w:p>
    <w:p>
      <w:pPr>
        <w:spacing w:before="156" w:beforeLines="50" w:line="360" w:lineRule="auto"/>
        <w:jc w:val="center"/>
        <w:rPr>
          <w:rFonts w:hint="eastAsia"/>
          <w:color w:val="FF0000"/>
          <w:sz w:val="24"/>
        </w:rPr>
      </w:pPr>
    </w:p>
    <w:p>
      <w:pPr>
        <w:spacing w:before="156" w:beforeLines="50" w:line="360" w:lineRule="auto"/>
        <w:jc w:val="center"/>
        <w:rPr>
          <w:sz w:val="24"/>
        </w:rPr>
      </w:pPr>
      <w:r>
        <w:rPr>
          <w:sz w:val="24"/>
        </w:rPr>
        <w:t>表</w:t>
      </w:r>
      <w:r>
        <w:rPr>
          <w:rFonts w:hint="eastAsia"/>
          <w:sz w:val="24"/>
          <w:lang w:val="en-US" w:eastAsia="zh-CN"/>
        </w:rPr>
        <w:t>10</w:t>
      </w:r>
      <w:r>
        <w:rPr>
          <w:sz w:val="24"/>
        </w:rPr>
        <w:t xml:space="preserve">  20</w:t>
      </w:r>
      <w:r>
        <w:rPr>
          <w:rFonts w:hint="eastAsia"/>
          <w:sz w:val="24"/>
        </w:rPr>
        <w:t>22</w:t>
      </w:r>
      <w:r>
        <w:rPr>
          <w:sz w:val="24"/>
        </w:rPr>
        <w:t>年</w:t>
      </w:r>
      <w:r>
        <w:rPr>
          <w:rFonts w:hint="eastAsia"/>
          <w:sz w:val="24"/>
        </w:rPr>
        <w:t>海啸事件列表</w:t>
      </w:r>
    </w:p>
    <w:tbl>
      <w:tblPr>
        <w:tblStyle w:val="20"/>
        <w:tblW w:w="8713" w:type="dxa"/>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45" w:type="dxa"/>
          <w:left w:w="28" w:type="dxa"/>
          <w:bottom w:w="45" w:type="dxa"/>
          <w:right w:w="28" w:type="dxa"/>
        </w:tblCellMar>
      </w:tblPr>
      <w:tblGrid>
        <w:gridCol w:w="1093"/>
        <w:gridCol w:w="2128"/>
        <w:gridCol w:w="995"/>
        <w:gridCol w:w="1418"/>
        <w:gridCol w:w="2087"/>
        <w:gridCol w:w="992"/>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1201" w:hRule="exact"/>
          <w:jc w:val="center"/>
        </w:trPr>
        <w:tc>
          <w:tcPr>
            <w:tcW w:w="1093" w:type="dxa"/>
            <w:shd w:val="clear" w:color="auto" w:fill="0F76BB"/>
            <w:noWrap w:val="0"/>
            <w:vAlign w:val="center"/>
          </w:tcPr>
          <w:p>
            <w:pPr>
              <w:jc w:val="center"/>
              <w:rPr>
                <w:b/>
                <w:bCs/>
                <w:color w:val="FFFFFF"/>
                <w:szCs w:val="21"/>
              </w:rPr>
            </w:pPr>
            <w:r>
              <w:rPr>
                <w:rFonts w:hAnsi="宋体"/>
                <w:b/>
                <w:bCs/>
                <w:color w:val="FFFFFF"/>
                <w:szCs w:val="21"/>
              </w:rPr>
              <w:t>日期</w:t>
            </w:r>
          </w:p>
        </w:tc>
        <w:tc>
          <w:tcPr>
            <w:tcW w:w="2128" w:type="dxa"/>
            <w:tcBorders>
              <w:right w:val="single" w:color="FFFFFF" w:sz="6" w:space="0"/>
            </w:tcBorders>
            <w:shd w:val="clear" w:color="auto" w:fill="0F76BB"/>
            <w:noWrap w:val="0"/>
            <w:vAlign w:val="center"/>
          </w:tcPr>
          <w:p>
            <w:pPr>
              <w:jc w:val="center"/>
              <w:rPr>
                <w:b/>
                <w:bCs/>
                <w:color w:val="FFFFFF"/>
                <w:szCs w:val="21"/>
              </w:rPr>
            </w:pPr>
            <w:r>
              <w:rPr>
                <w:rFonts w:hAnsi="宋体"/>
                <w:b/>
                <w:bCs/>
                <w:color w:val="FFFFFF"/>
                <w:szCs w:val="21"/>
              </w:rPr>
              <w:t>海啸源位置</w:t>
            </w:r>
          </w:p>
        </w:tc>
        <w:tc>
          <w:tcPr>
            <w:tcW w:w="995" w:type="dxa"/>
            <w:tcBorders>
              <w:left w:val="single" w:color="FFFFFF" w:sz="6" w:space="0"/>
              <w:right w:val="single" w:color="FFFFFF" w:sz="6" w:space="0"/>
            </w:tcBorders>
            <w:shd w:val="clear" w:color="auto" w:fill="0F76BB"/>
            <w:noWrap w:val="0"/>
            <w:vAlign w:val="center"/>
          </w:tcPr>
          <w:p>
            <w:pPr>
              <w:jc w:val="center"/>
              <w:rPr>
                <w:b/>
                <w:bCs/>
                <w:color w:val="FFFFFF"/>
                <w:szCs w:val="21"/>
              </w:rPr>
            </w:pPr>
            <w:r>
              <w:rPr>
                <w:rFonts w:hAnsi="宋体"/>
                <w:b/>
                <w:bCs/>
                <w:color w:val="FFFFFF"/>
                <w:szCs w:val="21"/>
              </w:rPr>
              <w:t>震级</w:t>
            </w:r>
          </w:p>
          <w:p>
            <w:pPr>
              <w:jc w:val="center"/>
              <w:rPr>
                <w:b/>
                <w:bCs/>
                <w:color w:val="FFFFFF"/>
                <w:szCs w:val="21"/>
              </w:rPr>
            </w:pPr>
            <w:r>
              <w:rPr>
                <w:rFonts w:hAnsi="宋体"/>
                <w:b/>
                <w:bCs/>
                <w:color w:val="FFFFFF"/>
                <w:szCs w:val="21"/>
              </w:rPr>
              <w:t>（级）</w:t>
            </w:r>
          </w:p>
        </w:tc>
        <w:tc>
          <w:tcPr>
            <w:tcW w:w="1418" w:type="dxa"/>
            <w:tcBorders>
              <w:left w:val="single" w:color="FFFFFF" w:sz="6" w:space="0"/>
              <w:right w:val="single" w:color="FFFFFF" w:sz="6" w:space="0"/>
            </w:tcBorders>
            <w:shd w:val="clear" w:color="auto" w:fill="0F76BB"/>
            <w:noWrap w:val="0"/>
            <w:vAlign w:val="center"/>
          </w:tcPr>
          <w:p>
            <w:pPr>
              <w:ind w:right="-27" w:rightChars="-13"/>
              <w:jc w:val="center"/>
              <w:rPr>
                <w:b/>
                <w:bCs/>
                <w:color w:val="FFFFFF"/>
                <w:szCs w:val="21"/>
              </w:rPr>
            </w:pPr>
            <w:r>
              <w:rPr>
                <w:rFonts w:hint="eastAsia"/>
                <w:b/>
                <w:bCs/>
                <w:color w:val="FFFFFF"/>
                <w:szCs w:val="21"/>
              </w:rPr>
              <w:t>最大海啸波幅（厘米）</w:t>
            </w:r>
          </w:p>
        </w:tc>
        <w:tc>
          <w:tcPr>
            <w:tcW w:w="2087" w:type="dxa"/>
            <w:tcBorders>
              <w:left w:val="single" w:color="FFFFFF" w:sz="6" w:space="0"/>
              <w:right w:val="single" w:color="FFFFFF" w:sz="6" w:space="0"/>
            </w:tcBorders>
            <w:shd w:val="clear" w:color="auto" w:fill="0F76BB"/>
            <w:noWrap w:val="0"/>
            <w:vAlign w:val="center"/>
          </w:tcPr>
          <w:p>
            <w:pPr>
              <w:adjustRightInd w:val="0"/>
              <w:snapToGrid w:val="0"/>
              <w:ind w:right="-27" w:rightChars="-13"/>
              <w:jc w:val="center"/>
              <w:rPr>
                <w:b/>
                <w:bCs/>
                <w:color w:val="FFFFFF"/>
                <w:szCs w:val="21"/>
              </w:rPr>
            </w:pPr>
            <w:r>
              <w:rPr>
                <w:rFonts w:hint="eastAsia"/>
                <w:b/>
                <w:bCs/>
                <w:color w:val="FFFFFF"/>
                <w:szCs w:val="21"/>
              </w:rPr>
              <w:t>潮位站</w:t>
            </w:r>
            <w:r>
              <w:rPr>
                <w:b/>
                <w:bCs/>
                <w:color w:val="FFFFFF"/>
                <w:szCs w:val="21"/>
              </w:rPr>
              <w:t>/</w:t>
            </w:r>
            <w:r>
              <w:rPr>
                <w:rFonts w:hint="eastAsia"/>
                <w:b/>
                <w:bCs/>
                <w:color w:val="FFFFFF"/>
                <w:szCs w:val="21"/>
              </w:rPr>
              <w:t>国家</w:t>
            </w:r>
          </w:p>
        </w:tc>
        <w:tc>
          <w:tcPr>
            <w:tcW w:w="992" w:type="dxa"/>
            <w:tcBorders>
              <w:left w:val="single" w:color="FFFFFF" w:sz="6" w:space="0"/>
            </w:tcBorders>
            <w:shd w:val="clear" w:color="auto" w:fill="0F76BB"/>
            <w:noWrap w:val="0"/>
            <w:vAlign w:val="center"/>
          </w:tcPr>
          <w:p>
            <w:pPr>
              <w:adjustRightInd w:val="0"/>
              <w:snapToGrid w:val="0"/>
              <w:ind w:right="-27" w:rightChars="-13"/>
              <w:jc w:val="center"/>
              <w:rPr>
                <w:b/>
                <w:bCs/>
                <w:color w:val="FFFFFF"/>
                <w:szCs w:val="21"/>
              </w:rPr>
            </w:pPr>
            <w:r>
              <w:rPr>
                <w:rFonts w:hint="eastAsia"/>
                <w:b/>
                <w:bCs/>
                <w:color w:val="FFFFFF"/>
                <w:szCs w:val="21"/>
              </w:rPr>
              <w:t>海啸类型</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exact"/>
          <w:jc w:val="center"/>
        </w:trPr>
        <w:tc>
          <w:tcPr>
            <w:tcW w:w="1093" w:type="dxa"/>
            <w:tcBorders>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1月15日</w:t>
            </w:r>
          </w:p>
        </w:tc>
        <w:tc>
          <w:tcPr>
            <w:tcW w:w="2128"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汤加海域</w:t>
            </w:r>
          </w:p>
        </w:tc>
        <w:tc>
          <w:tcPr>
            <w:tcW w:w="995"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火山爆发</w:t>
            </w:r>
          </w:p>
        </w:tc>
        <w:tc>
          <w:tcPr>
            <w:tcW w:w="1418"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ind w:right="630" w:rightChars="300"/>
              <w:jc w:val="right"/>
              <w:rPr>
                <w:szCs w:val="21"/>
              </w:rPr>
            </w:pPr>
            <w:r>
              <w:rPr>
                <w:rFonts w:hint="eastAsia"/>
                <w:szCs w:val="21"/>
              </w:rPr>
              <w:t>154</w:t>
            </w:r>
          </w:p>
        </w:tc>
        <w:tc>
          <w:tcPr>
            <w:tcW w:w="2087"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查尼亚拉尔/智利</w:t>
            </w:r>
          </w:p>
        </w:tc>
        <w:tc>
          <w:tcPr>
            <w:tcW w:w="992" w:type="dxa"/>
            <w:tcBorders>
              <w:left w:val="single" w:color="FFFFFF" w:sz="6" w:space="0"/>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越洋海啸</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093" w:type="dxa"/>
            <w:tcBorders>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3月16日</w:t>
            </w:r>
          </w:p>
        </w:tc>
        <w:tc>
          <w:tcPr>
            <w:tcW w:w="2128" w:type="dxa"/>
            <w:tcBorders>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日本本州东部海域</w:t>
            </w:r>
          </w:p>
        </w:tc>
        <w:tc>
          <w:tcPr>
            <w:tcW w:w="995"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szCs w:val="21"/>
              </w:rPr>
            </w:pPr>
            <w:r>
              <w:rPr>
                <w:rFonts w:hint="eastAsia"/>
                <w:szCs w:val="21"/>
              </w:rPr>
              <w:t>7.3</w:t>
            </w:r>
          </w:p>
        </w:tc>
        <w:tc>
          <w:tcPr>
            <w:tcW w:w="1418"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9</w:t>
            </w:r>
          </w:p>
        </w:tc>
        <w:tc>
          <w:tcPr>
            <w:tcW w:w="2087"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大船渡/日本</w:t>
            </w:r>
          </w:p>
        </w:tc>
        <w:tc>
          <w:tcPr>
            <w:tcW w:w="992" w:type="dxa"/>
            <w:tcBorders>
              <w:left w:val="single" w:color="FFFFFF" w:sz="6" w:space="0"/>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局地海啸</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093" w:type="dxa"/>
            <w:tcBorders>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3月31日</w:t>
            </w:r>
          </w:p>
        </w:tc>
        <w:tc>
          <w:tcPr>
            <w:tcW w:w="2128"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洛亚蒂群岛东南海域</w:t>
            </w:r>
          </w:p>
        </w:tc>
        <w:tc>
          <w:tcPr>
            <w:tcW w:w="995"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szCs w:val="21"/>
              </w:rPr>
            </w:pPr>
            <w:r>
              <w:rPr>
                <w:rFonts w:hint="eastAsia"/>
                <w:szCs w:val="21"/>
              </w:rPr>
              <w:t>6.5</w:t>
            </w:r>
          </w:p>
        </w:tc>
        <w:tc>
          <w:tcPr>
            <w:tcW w:w="1418"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7</w:t>
            </w:r>
          </w:p>
        </w:tc>
        <w:tc>
          <w:tcPr>
            <w:tcW w:w="2087"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马雷/法国</w:t>
            </w:r>
          </w:p>
        </w:tc>
        <w:tc>
          <w:tcPr>
            <w:tcW w:w="992" w:type="dxa"/>
            <w:tcBorders>
              <w:left w:val="single" w:color="FFFFFF" w:sz="6" w:space="0"/>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局地海啸</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093" w:type="dxa"/>
            <w:tcBorders>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3月31日</w:t>
            </w:r>
          </w:p>
        </w:tc>
        <w:tc>
          <w:tcPr>
            <w:tcW w:w="2128" w:type="dxa"/>
            <w:tcBorders>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洛亚蒂群岛东南海域</w:t>
            </w:r>
          </w:p>
        </w:tc>
        <w:tc>
          <w:tcPr>
            <w:tcW w:w="995"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szCs w:val="21"/>
              </w:rPr>
            </w:pPr>
            <w:r>
              <w:rPr>
                <w:rFonts w:hint="eastAsia"/>
                <w:szCs w:val="21"/>
              </w:rPr>
              <w:t>7.0</w:t>
            </w:r>
          </w:p>
        </w:tc>
        <w:tc>
          <w:tcPr>
            <w:tcW w:w="1418"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6</w:t>
            </w:r>
          </w:p>
        </w:tc>
        <w:tc>
          <w:tcPr>
            <w:tcW w:w="2087"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马雷/法国</w:t>
            </w:r>
          </w:p>
        </w:tc>
        <w:tc>
          <w:tcPr>
            <w:tcW w:w="992" w:type="dxa"/>
            <w:tcBorders>
              <w:left w:val="single" w:color="FFFFFF" w:sz="6" w:space="0"/>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局地海啸</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093" w:type="dxa"/>
            <w:tcBorders>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7月27日</w:t>
            </w:r>
          </w:p>
        </w:tc>
        <w:tc>
          <w:tcPr>
            <w:tcW w:w="2128" w:type="dxa"/>
            <w:tcBorders>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菲律宾吕宋岛海域</w:t>
            </w:r>
          </w:p>
        </w:tc>
        <w:tc>
          <w:tcPr>
            <w:tcW w:w="995"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szCs w:val="21"/>
              </w:rPr>
            </w:pPr>
            <w:r>
              <w:rPr>
                <w:rFonts w:hint="eastAsia"/>
                <w:szCs w:val="21"/>
              </w:rPr>
              <w:t>7.0</w:t>
            </w:r>
          </w:p>
        </w:tc>
        <w:tc>
          <w:tcPr>
            <w:tcW w:w="1418"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8</w:t>
            </w:r>
          </w:p>
        </w:tc>
        <w:tc>
          <w:tcPr>
            <w:tcW w:w="2087" w:type="dxa"/>
            <w:tcBorders>
              <w:left w:val="single" w:color="FFFFFF" w:sz="6" w:space="0"/>
              <w:bottom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库里马奥/菲律宾</w:t>
            </w:r>
          </w:p>
        </w:tc>
        <w:tc>
          <w:tcPr>
            <w:tcW w:w="992" w:type="dxa"/>
            <w:tcBorders>
              <w:left w:val="single" w:color="FFFFFF" w:sz="6" w:space="0"/>
              <w:bottom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局地海啸</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647" w:hRule="exact"/>
          <w:jc w:val="center"/>
        </w:trPr>
        <w:tc>
          <w:tcPr>
            <w:tcW w:w="1093" w:type="dxa"/>
            <w:tcBorders>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9月20日</w:t>
            </w:r>
          </w:p>
        </w:tc>
        <w:tc>
          <w:tcPr>
            <w:tcW w:w="2128" w:type="dxa"/>
            <w:tcBorders>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墨西哥哈利斯科州</w:t>
            </w:r>
          </w:p>
          <w:p>
            <w:pPr>
              <w:adjustRightInd w:val="0"/>
              <w:snapToGrid w:val="0"/>
              <w:jc w:val="center"/>
              <w:rPr>
                <w:rFonts w:hint="eastAsia"/>
                <w:szCs w:val="21"/>
              </w:rPr>
            </w:pPr>
            <w:r>
              <w:rPr>
                <w:rFonts w:hint="eastAsia"/>
                <w:szCs w:val="21"/>
              </w:rPr>
              <w:t>近海海域</w:t>
            </w:r>
          </w:p>
        </w:tc>
        <w:tc>
          <w:tcPr>
            <w:tcW w:w="995"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szCs w:val="21"/>
              </w:rPr>
            </w:pPr>
            <w:r>
              <w:rPr>
                <w:rFonts w:hint="eastAsia"/>
                <w:szCs w:val="21"/>
              </w:rPr>
              <w:t>7.6</w:t>
            </w:r>
          </w:p>
        </w:tc>
        <w:tc>
          <w:tcPr>
            <w:tcW w:w="1418"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szCs w:val="21"/>
              </w:rPr>
            </w:pPr>
            <w:r>
              <w:rPr>
                <w:rFonts w:hint="eastAsia"/>
                <w:szCs w:val="21"/>
              </w:rPr>
              <w:t>93</w:t>
            </w:r>
          </w:p>
        </w:tc>
        <w:tc>
          <w:tcPr>
            <w:tcW w:w="2087"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曼萨尼约/墨西哥</w:t>
            </w:r>
          </w:p>
        </w:tc>
        <w:tc>
          <w:tcPr>
            <w:tcW w:w="992" w:type="dxa"/>
            <w:tcBorders>
              <w:left w:val="single" w:color="FFFFFF" w:sz="6" w:space="0"/>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区域海啸</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093" w:type="dxa"/>
            <w:shd w:val="clear" w:color="auto" w:fill="B9E6FB"/>
            <w:noWrap w:val="0"/>
            <w:vAlign w:val="center"/>
          </w:tcPr>
          <w:p>
            <w:pPr>
              <w:adjustRightInd w:val="0"/>
              <w:snapToGrid w:val="0"/>
              <w:jc w:val="center"/>
              <w:rPr>
                <w:rFonts w:hint="eastAsia"/>
                <w:szCs w:val="21"/>
              </w:rPr>
            </w:pPr>
            <w:r>
              <w:rPr>
                <w:rFonts w:hint="eastAsia"/>
                <w:szCs w:val="21"/>
              </w:rPr>
              <w:t>11月11日</w:t>
            </w:r>
          </w:p>
        </w:tc>
        <w:tc>
          <w:tcPr>
            <w:tcW w:w="2128" w:type="dxa"/>
            <w:tcBorders>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汤加群岛地区海域</w:t>
            </w:r>
          </w:p>
        </w:tc>
        <w:tc>
          <w:tcPr>
            <w:tcW w:w="995" w:type="dxa"/>
            <w:tcBorders>
              <w:left w:val="single" w:color="FFFFFF" w:sz="6" w:space="0"/>
              <w:right w:val="single" w:color="FFFFFF" w:sz="6" w:space="0"/>
            </w:tcBorders>
            <w:shd w:val="clear" w:color="auto" w:fill="B9E6FB"/>
            <w:noWrap w:val="0"/>
            <w:vAlign w:val="center"/>
          </w:tcPr>
          <w:p>
            <w:pPr>
              <w:adjustRightInd w:val="0"/>
              <w:snapToGrid w:val="0"/>
              <w:jc w:val="center"/>
              <w:rPr>
                <w:szCs w:val="21"/>
              </w:rPr>
            </w:pPr>
            <w:r>
              <w:rPr>
                <w:rFonts w:hint="eastAsia"/>
                <w:szCs w:val="21"/>
              </w:rPr>
              <w:t>7.4</w:t>
            </w:r>
          </w:p>
        </w:tc>
        <w:tc>
          <w:tcPr>
            <w:tcW w:w="1418" w:type="dxa"/>
            <w:tcBorders>
              <w:left w:val="single" w:color="FFFFFF" w:sz="6" w:space="0"/>
              <w:right w:val="single" w:color="FFFFFF" w:sz="6" w:space="0"/>
            </w:tcBorders>
            <w:shd w:val="clear" w:color="auto" w:fill="B9E6FB"/>
            <w:noWrap w:val="0"/>
            <w:vAlign w:val="center"/>
          </w:tcPr>
          <w:p>
            <w:pPr>
              <w:adjustRightInd w:val="0"/>
              <w:snapToGrid w:val="0"/>
              <w:jc w:val="center"/>
              <w:rPr>
                <w:szCs w:val="21"/>
              </w:rPr>
            </w:pPr>
            <w:r>
              <w:rPr>
                <w:rFonts w:hint="eastAsia"/>
                <w:szCs w:val="21"/>
              </w:rPr>
              <w:t>12</w:t>
            </w:r>
          </w:p>
        </w:tc>
        <w:tc>
          <w:tcPr>
            <w:tcW w:w="2087" w:type="dxa"/>
            <w:tcBorders>
              <w:left w:val="single" w:color="FFFFFF" w:sz="6" w:space="0"/>
              <w:righ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帕果/萨摩亚</w:t>
            </w:r>
          </w:p>
        </w:tc>
        <w:tc>
          <w:tcPr>
            <w:tcW w:w="992" w:type="dxa"/>
            <w:tcBorders>
              <w:left w:val="single" w:color="FFFFFF" w:sz="6" w:space="0"/>
            </w:tcBorders>
            <w:shd w:val="clear" w:color="auto" w:fill="B9E6FB"/>
            <w:noWrap w:val="0"/>
            <w:vAlign w:val="center"/>
          </w:tcPr>
          <w:p>
            <w:pPr>
              <w:adjustRightInd w:val="0"/>
              <w:snapToGrid w:val="0"/>
              <w:jc w:val="center"/>
              <w:rPr>
                <w:rFonts w:hint="eastAsia"/>
                <w:szCs w:val="21"/>
              </w:rPr>
            </w:pPr>
            <w:r>
              <w:rPr>
                <w:rFonts w:hint="eastAsia"/>
                <w:szCs w:val="21"/>
              </w:rPr>
              <w:t>局地海啸</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45" w:type="dxa"/>
            <w:left w:w="28" w:type="dxa"/>
            <w:bottom w:w="45" w:type="dxa"/>
            <w:right w:w="28" w:type="dxa"/>
          </w:tblCellMar>
        </w:tblPrEx>
        <w:trPr>
          <w:trHeight w:val="482" w:hRule="atLeast"/>
          <w:jc w:val="center"/>
        </w:trPr>
        <w:tc>
          <w:tcPr>
            <w:tcW w:w="1093" w:type="dxa"/>
            <w:tcBorders>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11月22日</w:t>
            </w:r>
          </w:p>
        </w:tc>
        <w:tc>
          <w:tcPr>
            <w:tcW w:w="2128" w:type="dxa"/>
            <w:tcBorders>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所罗门群岛海域</w:t>
            </w:r>
          </w:p>
        </w:tc>
        <w:tc>
          <w:tcPr>
            <w:tcW w:w="995"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szCs w:val="21"/>
              </w:rPr>
            </w:pPr>
            <w:r>
              <w:rPr>
                <w:rFonts w:hint="eastAsia"/>
                <w:szCs w:val="21"/>
              </w:rPr>
              <w:t>7.2</w:t>
            </w:r>
          </w:p>
        </w:tc>
        <w:tc>
          <w:tcPr>
            <w:tcW w:w="1418"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3</w:t>
            </w:r>
          </w:p>
        </w:tc>
        <w:tc>
          <w:tcPr>
            <w:tcW w:w="2087" w:type="dxa"/>
            <w:tcBorders>
              <w:left w:val="single" w:color="FFFFFF" w:sz="6" w:space="0"/>
              <w:bottom w:val="single" w:color="FFFFFF" w:sz="6" w:space="0"/>
              <w:right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霍尼亚拉/所罗门群岛</w:t>
            </w:r>
          </w:p>
        </w:tc>
        <w:tc>
          <w:tcPr>
            <w:tcW w:w="992" w:type="dxa"/>
            <w:tcBorders>
              <w:left w:val="single" w:color="FFFFFF" w:sz="6" w:space="0"/>
              <w:bottom w:val="single" w:color="FFFFFF" w:sz="6" w:space="0"/>
            </w:tcBorders>
            <w:shd w:val="clear" w:color="auto" w:fill="E2F4FD"/>
            <w:noWrap w:val="0"/>
            <w:vAlign w:val="center"/>
          </w:tcPr>
          <w:p>
            <w:pPr>
              <w:adjustRightInd w:val="0"/>
              <w:snapToGrid w:val="0"/>
              <w:jc w:val="center"/>
              <w:rPr>
                <w:rFonts w:hint="eastAsia"/>
                <w:szCs w:val="21"/>
              </w:rPr>
            </w:pPr>
            <w:r>
              <w:rPr>
                <w:rFonts w:hint="eastAsia"/>
                <w:szCs w:val="21"/>
              </w:rPr>
              <w:t>局地海啸</w:t>
            </w:r>
          </w:p>
        </w:tc>
      </w:tr>
    </w:tbl>
    <w:p>
      <w:pPr>
        <w:spacing w:line="360" w:lineRule="auto"/>
        <w:jc w:val="center"/>
        <w:rPr>
          <w:rFonts w:hint="eastAsia" w:hAnsi="宋体"/>
          <w:color w:val="FF0000"/>
          <w:kern w:val="0"/>
        </w:rPr>
      </w:pPr>
    </w:p>
    <w:p>
      <w:pPr>
        <w:spacing w:line="360" w:lineRule="auto"/>
        <w:jc w:val="center"/>
        <w:rPr>
          <w:rFonts w:hint="eastAsia" w:hAnsi="宋体"/>
          <w:color w:val="FF0000"/>
          <w:kern w:val="0"/>
        </w:rPr>
      </w:pPr>
    </w:p>
    <w:p>
      <w:pPr>
        <w:spacing w:line="360" w:lineRule="auto"/>
        <w:jc w:val="center"/>
        <w:rPr>
          <w:rFonts w:hint="eastAsia" w:hAnsi="宋体"/>
          <w:color w:val="FF0000"/>
          <w:kern w:val="0"/>
        </w:rPr>
      </w:pPr>
    </w:p>
    <w:p>
      <w:pPr>
        <w:spacing w:line="360" w:lineRule="auto"/>
        <w:jc w:val="center"/>
        <w:rPr>
          <w:rFonts w:hint="eastAsia" w:hAnsi="宋体"/>
          <w:color w:val="FF0000"/>
          <w:kern w:val="0"/>
        </w:rPr>
      </w:pPr>
    </w:p>
    <w:p>
      <w:pPr>
        <w:spacing w:line="360" w:lineRule="auto"/>
        <w:jc w:val="center"/>
        <w:rPr>
          <w:rFonts w:hint="eastAsia" w:hAnsi="宋体"/>
          <w:color w:val="FF0000"/>
          <w:kern w:val="0"/>
        </w:rPr>
      </w:pPr>
    </w:p>
    <w:p>
      <w:pPr>
        <w:spacing w:line="360" w:lineRule="auto"/>
        <w:jc w:val="center"/>
        <w:rPr>
          <w:color w:val="FF0000"/>
          <w:szCs w:val="21"/>
        </w:rPr>
        <w:sectPr>
          <w:footerReference r:id="rId13" w:type="default"/>
          <w:footnotePr>
            <w:numRestart w:val="eachSect"/>
          </w:footnotePr>
          <w:pgSz w:w="11906" w:h="16838"/>
          <w:pgMar w:top="1418" w:right="1701" w:bottom="1418" w:left="1701" w:header="851" w:footer="992" w:gutter="0"/>
          <w:cols w:space="720" w:num="1"/>
          <w:docGrid w:type="linesAndChars" w:linePitch="312" w:charSpace="0"/>
        </w:sectPr>
      </w:pPr>
      <w:r>
        <w:rPr>
          <w:color w:val="FF0000"/>
          <w:szCs w:val="21"/>
        </w:rPr>
        <mc:AlternateContent>
          <mc:Choice Requires="wps">
            <w:drawing>
              <wp:inline distT="0" distB="0" distL="114300" distR="114300">
                <wp:extent cx="5400040" cy="1986280"/>
                <wp:effectExtent l="6350" t="6350" r="22860" b="7620"/>
                <wp:docPr id="5" name="文本框 18"/>
                <wp:cNvGraphicFramePr/>
                <a:graphic xmlns:a="http://schemas.openxmlformats.org/drawingml/2006/main">
                  <a:graphicData uri="http://schemas.microsoft.com/office/word/2010/wordprocessingShape">
                    <wps:wsp>
                      <wps:cNvSpPr txBox="true">
                        <a:spLocks noRot="true"/>
                      </wps:cNvSpPr>
                      <wps:spPr>
                        <a:xfrm>
                          <a:off x="0" y="0"/>
                          <a:ext cx="5400040" cy="1986280"/>
                        </a:xfrm>
                        <a:prstGeom prst="rect">
                          <a:avLst/>
                        </a:prstGeom>
                        <a:gradFill rotWithShape="true">
                          <a:gsLst>
                            <a:gs pos="0">
                              <a:srgbClr val="F2DBDB"/>
                            </a:gs>
                            <a:gs pos="100000">
                              <a:srgbClr val="FFFFFF"/>
                            </a:gs>
                          </a:gsLst>
                          <a:lin ang="5400000" scaled="true"/>
                          <a:tileRect/>
                        </a:gradFill>
                        <a:ln w="12700" cap="flat" cmpd="sng">
                          <a:solidFill>
                            <a:srgbClr val="484329"/>
                          </a:solidFill>
                          <a:prstDash val="solid"/>
                          <a:miter/>
                          <a:headEnd type="none" w="med" len="med"/>
                          <a:tailEnd type="none" w="med" len="med"/>
                        </a:ln>
                      </wps:spPr>
                      <wps:txbx>
                        <w:txbxContent>
                          <w:p>
                            <w:pPr>
                              <w:pStyle w:val="16"/>
                              <w:spacing w:line="400" w:lineRule="exact"/>
                              <w:ind w:firstLine="437"/>
                              <w:jc w:val="both"/>
                              <w:rPr>
                                <w:rFonts w:hint="eastAsia" w:ascii="Times New Roman"/>
                                <w:sz w:val="21"/>
                              </w:rPr>
                            </w:pPr>
                            <w:r>
                              <w:rPr>
                                <w:rFonts w:hint="eastAsia" w:ascii="Times New Roman"/>
                                <w:sz w:val="21"/>
                              </w:rPr>
                              <w:t>海啸是由海底地震、火山爆发、海底滑坡等引发并移行于海洋中的一系列具有超长波长和中等周期的长重力波。在深海大洋，海啸波以每小时</w:t>
                            </w:r>
                            <w:r>
                              <w:rPr>
                                <w:rFonts w:ascii="Times New Roman"/>
                                <w:sz w:val="21"/>
                              </w:rPr>
                              <w:t>800</w:t>
                            </w:r>
                            <w:r>
                              <w:rPr>
                                <w:rFonts w:hint="eastAsia" w:ascii="Times New Roman"/>
                                <w:sz w:val="21"/>
                              </w:rPr>
                              <w:t>公里以上的速度传播，但波高却只有几十厘米或更小。当海啸波移近岸边浅水区时，波速会减慢，波高陡增，可形成数米或更高的水墙。</w:t>
                            </w:r>
                          </w:p>
                          <w:p>
                            <w:pPr>
                              <w:pStyle w:val="16"/>
                              <w:spacing w:line="400" w:lineRule="exact"/>
                              <w:ind w:firstLine="437"/>
                              <w:jc w:val="both"/>
                              <w:rPr>
                                <w:rFonts w:ascii="Times New Roman" w:hAnsi="Times New Roman"/>
                                <w:sz w:val="21"/>
                              </w:rPr>
                            </w:pPr>
                            <w:r>
                              <w:rPr>
                                <w:rFonts w:hint="eastAsia" w:ascii="Times New Roman" w:hAnsi="Times New Roman"/>
                                <w:sz w:val="21"/>
                              </w:rPr>
                              <w:t>大部分海啸灾害都是由位于地震俯冲带的浅源地震（</w:t>
                            </w:r>
                            <w:r>
                              <w:rPr>
                                <w:rFonts w:hint="eastAsia" w:ascii="Times New Roman" w:hAnsi="Times New Roman"/>
                                <w:sz w:val="21"/>
                                <w:lang w:eastAsia="zh-CN"/>
                              </w:rPr>
                              <w:t>初始</w:t>
                            </w:r>
                            <w:r>
                              <w:rPr>
                                <w:rFonts w:hint="eastAsia" w:ascii="Times New Roman" w:hAnsi="Times New Roman"/>
                                <w:sz w:val="21"/>
                              </w:rPr>
                              <w:t>震源深度不足70千米）造成的，矩震级一般大于6.5级。</w:t>
                            </w:r>
                          </w:p>
                        </w:txbxContent>
                      </wps:txbx>
                      <wps:bodyPr wrap="square" upright="true"/>
                    </wps:wsp>
                  </a:graphicData>
                </a:graphic>
              </wp:inline>
            </w:drawing>
          </mc:Choice>
          <mc:Fallback>
            <w:pict>
              <v:shape id="文本框 18" o:spid="_x0000_s1026" o:spt="202" type="#_x0000_t202" style="height:156.4pt;width:425.2pt;" fillcolor="#F2DBDB" filled="t" stroked="t" coordsize="21600,21600" o:gfxdata="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C9Nja/VAAAABQEAAA8AAAAAAAAAAQAgAAAAOAAAAGRycy9kb3ducmV2&#10;LnhtbFBLAQIUABQAAAAIAIdO4kCcFUv1WwIAAMMEAAAOAAAAAAAAAAEAIAAAADoBAABkcnMvZTJv&#10;RG9jLnhtbFBLBQYAAAAABgAGAFkBAAAHBgAAAAA=&#10;">
                <v:fill type="gradient" on="t" color2="#FFFFFF" focus="100%" focussize="0,0" rotate="t"/>
                <v:stroke weight="1pt" color="#484329" joinstyle="miter"/>
                <v:imagedata o:title=""/>
                <o:lock v:ext="edit" rotation="t" aspectratio="f"/>
                <v:textbox>
                  <w:txbxContent>
                    <w:p>
                      <w:pPr>
                        <w:pStyle w:val="16"/>
                        <w:spacing w:line="400" w:lineRule="exact"/>
                        <w:ind w:firstLine="437"/>
                        <w:jc w:val="both"/>
                        <w:rPr>
                          <w:rFonts w:hint="eastAsia" w:ascii="Times New Roman"/>
                          <w:sz w:val="21"/>
                        </w:rPr>
                      </w:pPr>
                      <w:r>
                        <w:rPr>
                          <w:rFonts w:hint="eastAsia" w:ascii="Times New Roman"/>
                          <w:sz w:val="21"/>
                        </w:rPr>
                        <w:t>海啸是由海底地震、火山爆发、海底滑坡等引发并移行于海洋中的一系列具有超长波长和中等周期的长重力波。在深海大洋，海啸波以每小时</w:t>
                      </w:r>
                      <w:r>
                        <w:rPr>
                          <w:rFonts w:ascii="Times New Roman"/>
                          <w:sz w:val="21"/>
                        </w:rPr>
                        <w:t>800</w:t>
                      </w:r>
                      <w:r>
                        <w:rPr>
                          <w:rFonts w:hint="eastAsia" w:ascii="Times New Roman"/>
                          <w:sz w:val="21"/>
                        </w:rPr>
                        <w:t>公里以上的速度传播，但波高却只有几十厘米或更小。当海啸波移近岸边浅水区时，波速会减慢，波高陡增，可形成数米或更高的水墙。</w:t>
                      </w:r>
                    </w:p>
                    <w:p>
                      <w:pPr>
                        <w:pStyle w:val="16"/>
                        <w:spacing w:line="400" w:lineRule="exact"/>
                        <w:ind w:firstLine="437"/>
                        <w:jc w:val="both"/>
                        <w:rPr>
                          <w:rFonts w:ascii="Times New Roman" w:hAnsi="Times New Roman"/>
                          <w:sz w:val="21"/>
                        </w:rPr>
                      </w:pPr>
                      <w:r>
                        <w:rPr>
                          <w:rFonts w:hint="eastAsia" w:ascii="Times New Roman" w:hAnsi="Times New Roman"/>
                          <w:sz w:val="21"/>
                        </w:rPr>
                        <w:t>大部分海啸灾害都是由位于地震俯冲带的浅源地震（</w:t>
                      </w:r>
                      <w:r>
                        <w:rPr>
                          <w:rFonts w:hint="eastAsia" w:ascii="Times New Roman" w:hAnsi="Times New Roman"/>
                          <w:sz w:val="21"/>
                          <w:lang w:eastAsia="zh-CN"/>
                        </w:rPr>
                        <w:t>初始</w:t>
                      </w:r>
                      <w:r>
                        <w:rPr>
                          <w:rFonts w:hint="eastAsia" w:ascii="Times New Roman" w:hAnsi="Times New Roman"/>
                          <w:sz w:val="21"/>
                        </w:rPr>
                        <w:t>震源深度不足70千米）造成的，矩震级一般大于6.5级。</w:t>
                      </w:r>
                    </w:p>
                  </w:txbxContent>
                </v:textbox>
                <w10:wrap type="none"/>
                <w10:anchorlock/>
              </v:shape>
            </w:pict>
          </mc:Fallback>
        </mc:AlternateContent>
      </w:r>
    </w:p>
    <w:p>
      <w:pPr>
        <w:pStyle w:val="2"/>
        <w:spacing w:before="0" w:after="0" w:line="240" w:lineRule="auto"/>
        <w:rPr>
          <w:rFonts w:ascii="黑体" w:hAnsi="黑体" w:eastAsia="黑体"/>
        </w:rPr>
      </w:pPr>
      <w:bookmarkStart w:id="29" w:name="_Toc1349232355"/>
      <w:r>
        <w:rPr>
          <w:rFonts w:hint="eastAsia" w:ascii="黑体" w:hAnsi="黑体" w:eastAsia="黑体"/>
        </w:rPr>
        <w:t>九</w:t>
      </w:r>
      <w:r>
        <w:rPr>
          <w:rFonts w:ascii="黑体" w:hAnsi="黑体" w:eastAsia="黑体"/>
        </w:rPr>
        <w:t>、</w:t>
      </w:r>
      <w:bookmarkEnd w:id="25"/>
      <w:r>
        <w:rPr>
          <w:rFonts w:ascii="黑体" w:hAnsi="黑体" w:eastAsia="黑体"/>
        </w:rPr>
        <w:t>海洋防灾减灾大事记</w:t>
      </w:r>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2月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sz w:val="30"/>
          <w:szCs w:val="30"/>
        </w:rPr>
      </w:pPr>
      <w:r>
        <w:rPr>
          <w:rFonts w:hint="eastAsia" w:ascii="Times New Roman" w:hAnsi="Times New Roman" w:eastAsia="宋体" w:cs="Times New Roman"/>
          <w:sz w:val="30"/>
          <w:szCs w:val="30"/>
        </w:rPr>
        <w:t>28日，浙江省自然资源厅印发《2021—2025年浙江省海洋生态预警监测工作方案》</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明确了浙江省“十四五”期间海洋生态预警监测工作的指导思想、工作目标、工作思路、工作布局、主要任务和预期成果清单。</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3月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sz w:val="30"/>
          <w:szCs w:val="30"/>
        </w:rPr>
      </w:pPr>
      <w:r>
        <w:rPr>
          <w:rFonts w:hint="eastAsia" w:ascii="Times New Roman" w:hAnsi="Times New Roman" w:eastAsia="宋体" w:cs="Times New Roman"/>
          <w:sz w:val="30"/>
          <w:szCs w:val="30"/>
        </w:rPr>
        <w:t>10日，浙江省自然灾害防治工作联席会议办公室组织召开成员单位联络员会议</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组织学习国务院和省政府领导有关批示精神，交流自然灾害防治各项重点工程实施情况，分析存在的短板问题，并部署下一步工作要求。</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sz w:val="30"/>
          <w:szCs w:val="30"/>
        </w:rPr>
      </w:pPr>
      <w:r>
        <w:rPr>
          <w:rFonts w:hint="eastAsia" w:ascii="Times New Roman" w:hAnsi="Times New Roman" w:eastAsia="宋体" w:cs="Times New Roman"/>
          <w:sz w:val="30"/>
          <w:szCs w:val="30"/>
        </w:rPr>
        <w:t>18日，</w:t>
      </w:r>
      <w:r>
        <w:rPr>
          <w:rFonts w:hint="eastAsia"/>
          <w:sz w:val="30"/>
          <w:szCs w:val="30"/>
        </w:rPr>
        <w:t>浙江省人民政府防汛防台抗旱指挥部</w:t>
      </w:r>
      <w:r>
        <w:rPr>
          <w:rFonts w:hint="eastAsia"/>
          <w:sz w:val="30"/>
          <w:szCs w:val="30"/>
          <w:lang w:eastAsia="zh-CN"/>
        </w:rPr>
        <w:t>办公室</w:t>
      </w:r>
      <w:r>
        <w:rPr>
          <w:rFonts w:hint="eastAsia"/>
          <w:sz w:val="30"/>
          <w:szCs w:val="30"/>
        </w:rPr>
        <w:t>（以下简称“浙江省防指</w:t>
      </w:r>
      <w:r>
        <w:rPr>
          <w:rFonts w:hint="eastAsia"/>
          <w:sz w:val="30"/>
          <w:szCs w:val="30"/>
          <w:lang w:eastAsia="zh-CN"/>
        </w:rPr>
        <w:t>办</w:t>
      </w:r>
      <w:r>
        <w:rPr>
          <w:rFonts w:hint="eastAsia"/>
          <w:sz w:val="30"/>
          <w:szCs w:val="30"/>
        </w:rPr>
        <w:t>”）</w:t>
      </w:r>
      <w:r>
        <w:rPr>
          <w:rFonts w:hint="eastAsia" w:ascii="Times New Roman" w:hAnsi="Times New Roman" w:eastAsia="宋体" w:cs="Times New Roman"/>
          <w:sz w:val="30"/>
          <w:szCs w:val="30"/>
        </w:rPr>
        <w:t>通过视联网举办全省基层防汛防台体系标准化建设暨备汛工作培训</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解读《基层防汛防台体系标准化建设与管理标准》</w:t>
      </w:r>
      <w:r>
        <w:rPr>
          <w:rFonts w:hint="eastAsia"/>
          <w:sz w:val="30"/>
          <w:szCs w:val="30"/>
        </w:rPr>
        <w:t>。</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4月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20日，全国海洋灾害预警报应急演练通过视频会商系统举行，</w:t>
      </w:r>
      <w:r>
        <w:rPr>
          <w:rFonts w:hint="eastAsia" w:ascii="Times New Roman" w:hAnsi="Times New Roman" w:eastAsia="宋体" w:cs="Times New Roman"/>
          <w:sz w:val="30"/>
          <w:szCs w:val="30"/>
          <w:lang w:val="en-US" w:eastAsia="zh-CN"/>
        </w:rPr>
        <w:t>全过程、全流程实战模拟测试了海洋灾害应急期间海洋观测、数据传输、海洋灾害预警报制作、研判会商和预警信息发布等环节，</w:t>
      </w:r>
      <w:r>
        <w:rPr>
          <w:rFonts w:hint="eastAsia" w:ascii="Times New Roman" w:hAnsi="Times New Roman" w:eastAsia="宋体" w:cs="Times New Roman"/>
          <w:sz w:val="30"/>
          <w:szCs w:val="30"/>
        </w:rPr>
        <w:t>浙江省作为全国唯一的省</w:t>
      </w:r>
      <w:r>
        <w:rPr>
          <w:rFonts w:hint="eastAsia" w:ascii="Times New Roman" w:hAnsi="Times New Roman" w:eastAsia="宋体" w:cs="Times New Roman"/>
          <w:sz w:val="30"/>
          <w:szCs w:val="30"/>
          <w:lang w:eastAsia="zh-CN"/>
        </w:rPr>
        <w:t>份</w:t>
      </w:r>
      <w:r>
        <w:rPr>
          <w:rFonts w:hint="eastAsia" w:ascii="Times New Roman" w:hAnsi="Times New Roman" w:eastAsia="宋体" w:cs="Times New Roman"/>
          <w:sz w:val="30"/>
          <w:szCs w:val="30"/>
        </w:rPr>
        <w:t>参演。</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5月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sz w:val="30"/>
          <w:szCs w:val="30"/>
        </w:rPr>
      </w:pPr>
      <w:r>
        <w:rPr>
          <w:rFonts w:hint="eastAsia"/>
          <w:sz w:val="30"/>
          <w:szCs w:val="30"/>
          <w:lang w:eastAsia="zh"/>
        </w:rPr>
        <w:t>12</w:t>
      </w:r>
      <w:r>
        <w:rPr>
          <w:rFonts w:hint="eastAsia"/>
          <w:sz w:val="30"/>
          <w:szCs w:val="30"/>
        </w:rPr>
        <w:t>日，浙江省自然资源系统开展主题为“减轻灾害风险，守护美好家园”的</w:t>
      </w:r>
      <w:r>
        <w:rPr>
          <w:rFonts w:hint="eastAsia"/>
          <w:sz w:val="30"/>
          <w:szCs w:val="30"/>
          <w:lang w:bidi="ar"/>
        </w:rPr>
        <w:t>“5·12”防灾减灾日</w:t>
      </w:r>
      <w:r>
        <w:rPr>
          <w:rFonts w:hint="eastAsia"/>
          <w:sz w:val="30"/>
          <w:szCs w:val="30"/>
        </w:rPr>
        <w:t>海洋灾害普及防御</w:t>
      </w:r>
      <w:r>
        <w:rPr>
          <w:rFonts w:hint="eastAsia"/>
          <w:sz w:val="30"/>
          <w:szCs w:val="30"/>
          <w:lang w:bidi="ar"/>
        </w:rPr>
        <w:t>线上宣传活动，向社会正式发布</w:t>
      </w:r>
      <w:r>
        <w:rPr>
          <w:rFonts w:hint="eastAsia"/>
          <w:sz w:val="30"/>
          <w:szCs w:val="30"/>
        </w:rPr>
        <w:t>《2021年浙江省海洋灾害公报》，并介绍海灾智防应用场景试点建设情况。</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6月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2日，浙江省防指办举办防汛防台在线平台全省线上推演</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重点演练“风险清单”全过程闭环管控，“安全码”人员转移，责任人到岗履职打卡，险情报送等功能</w:t>
      </w:r>
      <w:r>
        <w:rPr>
          <w:rFonts w:hint="eastAsia" w:ascii="Times New Roman" w:hAnsi="Times New Roman" w:eastAsia="宋体" w:cs="Times New Roman"/>
          <w:sz w:val="30"/>
          <w:szCs w:val="30"/>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8日，浙江省自然资源厅开展纪念第十四个“世界海洋日”暨第十五个“全国海洋宣传日”融媒直播活动，主题为“保护海洋生态系统 人与自然和谐共生”。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9日，《浙江省海岸带综合保护与利用规划》通过专家论证</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规划落实了多规合一、分类管控、分区落实、科学兼容和适度留白等方面的编制要求，在“以海定陆、以陆定海”方面提出了管控措施。</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23日，浙江省海洋灾害应急指挥部办公室</w:t>
      </w:r>
      <w:r>
        <w:rPr>
          <w:rFonts w:hint="eastAsia"/>
          <w:sz w:val="30"/>
          <w:szCs w:val="30"/>
        </w:rPr>
        <w:t>（以下简称“浙江省海指办”）</w:t>
      </w:r>
      <w:r>
        <w:rPr>
          <w:rFonts w:hint="eastAsia" w:ascii="Times New Roman" w:hAnsi="Times New Roman" w:eastAsia="宋体" w:cs="Times New Roman"/>
          <w:sz w:val="30"/>
          <w:szCs w:val="30"/>
        </w:rPr>
        <w:t>组织召开成员单位联络员会议</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会议指出，海洋灾害应急防御工作要围绕“不死人、少伤人，少损失”的目标，坚持系统观念和整体智治，以风暴潮灾害重点防御区为主体，以“海灾智防”场景建设为抓手，迭代升级海洋灾害全链条闭环管控体系，提升基层海洋灾害综合防御能力。</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7月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sz w:val="30"/>
          <w:szCs w:val="30"/>
        </w:rPr>
      </w:pPr>
      <w:r>
        <w:rPr>
          <w:rFonts w:hint="eastAsia"/>
          <w:sz w:val="30"/>
          <w:szCs w:val="30"/>
        </w:rPr>
        <w:t>1日，</w:t>
      </w:r>
      <w:r>
        <w:rPr>
          <w:rFonts w:hint="eastAsia" w:ascii="宋体" w:hAnsi="宋体"/>
          <w:sz w:val="30"/>
          <w:szCs w:val="30"/>
        </w:rPr>
        <w:t>“</w:t>
      </w:r>
      <w:r>
        <w:rPr>
          <w:rFonts w:ascii="宋体" w:hAnsi="宋体"/>
          <w:sz w:val="30"/>
          <w:szCs w:val="30"/>
        </w:rPr>
        <w:t>海灾智防”</w:t>
      </w:r>
      <w:r>
        <w:rPr>
          <w:rFonts w:hint="eastAsia" w:ascii="宋体" w:hAnsi="宋体"/>
          <w:sz w:val="30"/>
          <w:szCs w:val="30"/>
        </w:rPr>
        <w:t>场景</w:t>
      </w:r>
      <w:r>
        <w:rPr>
          <w:rFonts w:ascii="宋体" w:hAnsi="宋体"/>
          <w:sz w:val="30"/>
          <w:szCs w:val="30"/>
        </w:rPr>
        <w:t>正式</w:t>
      </w:r>
      <w:r>
        <w:rPr>
          <w:sz w:val="30"/>
          <w:szCs w:val="30"/>
        </w:rPr>
        <w:t>上线运行并实现省市县三级应用贯通</w:t>
      </w:r>
      <w:r>
        <w:rPr>
          <w:rFonts w:hint="eastAsia"/>
          <w:sz w:val="30"/>
          <w:szCs w:val="30"/>
          <w:lang w:eastAsia="zh-CN"/>
        </w:rPr>
        <w:t>（详见</w:t>
      </w:r>
      <w:r>
        <w:rPr>
          <w:rFonts w:hint="eastAsia"/>
          <w:sz w:val="30"/>
          <w:szCs w:val="30"/>
          <w:lang w:val="en-US" w:eastAsia="zh-CN"/>
        </w:rPr>
        <w:t>第3页专栏</w:t>
      </w:r>
      <w:r>
        <w:rPr>
          <w:rFonts w:hint="eastAsia"/>
          <w:sz w:val="30"/>
          <w:szCs w:val="30"/>
          <w:lang w:eastAsia="zh-CN"/>
        </w:rPr>
        <w:t>）</w:t>
      </w:r>
      <w:r>
        <w:rPr>
          <w:rFonts w:hint="eastAsia"/>
          <w:sz w:val="30"/>
          <w:szCs w:val="30"/>
        </w:rPr>
        <w:t>。</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9月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sz w:val="30"/>
          <w:szCs w:val="30"/>
        </w:rPr>
      </w:pPr>
      <w:r>
        <w:rPr>
          <w:rFonts w:hint="eastAsia"/>
          <w:sz w:val="30"/>
          <w:szCs w:val="30"/>
        </w:rPr>
        <w:t>3日，浙江省防指根据《浙江省防汛防台抗旱应急预案》，启动2211号“轩岚诺”台风</w:t>
      </w:r>
      <w:r>
        <w:rPr>
          <w:rFonts w:hint="eastAsia"/>
          <w:sz w:val="30"/>
          <w:szCs w:val="30"/>
        </w:rPr>
        <w:fldChar w:fldCharType="begin"/>
      </w:r>
      <w:r>
        <w:rPr>
          <w:rFonts w:hint="eastAsia"/>
          <w:sz w:val="30"/>
          <w:szCs w:val="30"/>
        </w:rPr>
        <w:instrText xml:space="preserve"> HYPERLINK "http://yjt.zj.gov.cn/art/2022/9/7/art_1228991424_59106448.html" \o "关于将防台风应急响应提升至Ⅱ级的通知" \t "/home/user/Documents\\x/_blank " </w:instrText>
      </w:r>
      <w:r>
        <w:rPr>
          <w:rFonts w:hint="eastAsia"/>
          <w:sz w:val="30"/>
          <w:szCs w:val="30"/>
        </w:rPr>
        <w:fldChar w:fldCharType="separate"/>
      </w:r>
      <w:r>
        <w:rPr>
          <w:sz w:val="30"/>
          <w:szCs w:val="30"/>
        </w:rPr>
        <w:t>Ⅱ级</w:t>
      </w:r>
      <w:r>
        <w:rPr>
          <w:rFonts w:hint="eastAsia"/>
          <w:sz w:val="30"/>
          <w:szCs w:val="30"/>
        </w:rPr>
        <w:t>应急响应</w:t>
      </w:r>
      <w:r>
        <w:rPr>
          <w:sz w:val="30"/>
          <w:szCs w:val="30"/>
        </w:rPr>
        <w:fldChar w:fldCharType="end"/>
      </w:r>
      <w:r>
        <w:rPr>
          <w:rFonts w:hint="eastAsia"/>
          <w:sz w:val="30"/>
          <w:szCs w:val="30"/>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sz w:val="30"/>
          <w:szCs w:val="30"/>
        </w:rPr>
      </w:pPr>
      <w:r>
        <w:rPr>
          <w:rFonts w:hint="eastAsia"/>
          <w:sz w:val="30"/>
          <w:szCs w:val="30"/>
        </w:rPr>
        <w:t>13日，浙江省防指根据《浙江省防汛防台抗旱应急预案》，启动2212号“梅花”台风</w:t>
      </w:r>
      <w:r>
        <w:rPr>
          <w:rFonts w:hint="eastAsia"/>
          <w:sz w:val="30"/>
          <w:szCs w:val="30"/>
        </w:rPr>
        <w:fldChar w:fldCharType="begin"/>
      </w:r>
      <w:r>
        <w:rPr>
          <w:rFonts w:hint="eastAsia"/>
          <w:sz w:val="30"/>
          <w:szCs w:val="30"/>
        </w:rPr>
        <w:instrText xml:space="preserve"> HYPERLINK "http://yjt.zj.gov.cn/art/2022/9/7/art_1228991424_59106448.html" \o "关于将防台风应急响应提升至Ⅱ级的通知" \t "/home/user/Documents\\x/_blank " </w:instrText>
      </w:r>
      <w:r>
        <w:rPr>
          <w:rFonts w:hint="eastAsia"/>
          <w:sz w:val="30"/>
          <w:szCs w:val="30"/>
        </w:rPr>
        <w:fldChar w:fldCharType="separate"/>
      </w:r>
      <w:r>
        <w:rPr>
          <w:sz w:val="30"/>
          <w:szCs w:val="30"/>
        </w:rPr>
        <w:t>Ⅰ级</w:t>
      </w:r>
      <w:r>
        <w:rPr>
          <w:rFonts w:hint="eastAsia"/>
          <w:sz w:val="30"/>
          <w:szCs w:val="30"/>
        </w:rPr>
        <w:t>应急响应</w:t>
      </w:r>
      <w:r>
        <w:rPr>
          <w:sz w:val="30"/>
          <w:szCs w:val="30"/>
        </w:rPr>
        <w:fldChar w:fldCharType="end"/>
      </w:r>
      <w:r>
        <w:rPr>
          <w:rFonts w:hint="eastAsia"/>
          <w:sz w:val="30"/>
          <w:szCs w:val="30"/>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sz w:val="30"/>
          <w:szCs w:val="30"/>
        </w:rPr>
        <w:t>17日，</w:t>
      </w:r>
      <w:r>
        <w:rPr>
          <w:rFonts w:ascii="宋体" w:hAnsi="宋体"/>
          <w:sz w:val="30"/>
          <w:szCs w:val="30"/>
        </w:rPr>
        <w:t>“一省一市”</w:t>
      </w:r>
      <w:r>
        <w:rPr>
          <w:rFonts w:hint="eastAsia"/>
          <w:sz w:val="30"/>
          <w:szCs w:val="30"/>
          <w:lang w:eastAsia="zh-CN"/>
        </w:rPr>
        <w:t>普查评估与区划</w:t>
      </w:r>
      <w:r>
        <w:rPr>
          <w:rFonts w:hint="eastAsia" w:ascii="宋体" w:hAnsi="宋体"/>
          <w:sz w:val="30"/>
          <w:szCs w:val="30"/>
          <w:lang w:eastAsia="zh-CN"/>
        </w:rPr>
        <w:t>试点</w:t>
      </w:r>
      <w:r>
        <w:rPr>
          <w:rFonts w:ascii="Times New Roman" w:hAnsi="Times New Roman" w:eastAsia="宋体" w:cs="Times New Roman"/>
          <w:sz w:val="30"/>
          <w:szCs w:val="30"/>
          <w:lang w:val="en-US" w:eastAsia="zh-CN"/>
        </w:rPr>
        <w:t>嘉兴市</w:t>
      </w:r>
      <w:r>
        <w:rPr>
          <w:rFonts w:ascii="Times New Roman" w:hAnsi="Times New Roman" w:eastAsia="宋体" w:cs="Times New Roman"/>
          <w:sz w:val="30"/>
          <w:szCs w:val="30"/>
        </w:rPr>
        <w:t>自然灾害综合风险评估与区划成果通过专家组技术论证与审查</w:t>
      </w:r>
      <w:r>
        <w:rPr>
          <w:rFonts w:hint="eastAsia" w:ascii="Times New Roman" w:hAnsi="Times New Roman" w:eastAsia="宋体" w:cs="Times New Roman"/>
          <w:sz w:val="30"/>
          <w:szCs w:val="30"/>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sz w:val="30"/>
          <w:szCs w:val="30"/>
        </w:rPr>
      </w:pPr>
      <w:r>
        <w:rPr>
          <w:rFonts w:hint="eastAsia"/>
          <w:sz w:val="30"/>
          <w:szCs w:val="30"/>
        </w:rPr>
        <w:t>19日，</w:t>
      </w:r>
      <w:r>
        <w:rPr>
          <w:sz w:val="30"/>
          <w:szCs w:val="30"/>
        </w:rPr>
        <w:t>国家减灾委第七督查检查组赴</w:t>
      </w:r>
      <w:r>
        <w:rPr>
          <w:rFonts w:hint="eastAsia"/>
          <w:sz w:val="30"/>
          <w:szCs w:val="30"/>
        </w:rPr>
        <w:t>浙江</w:t>
      </w:r>
      <w:r>
        <w:rPr>
          <w:sz w:val="30"/>
          <w:szCs w:val="30"/>
        </w:rPr>
        <w:t>省开展自然灾害防治工作综合督查检查。</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b/>
          <w:sz w:val="30"/>
          <w:szCs w:val="30"/>
        </w:rPr>
      </w:pPr>
      <w:r>
        <w:rPr>
          <w:rFonts w:hint="eastAsia"/>
          <w:b/>
          <w:sz w:val="30"/>
          <w:szCs w:val="30"/>
        </w:rPr>
        <w:t>11月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sz w:val="30"/>
          <w:szCs w:val="30"/>
        </w:rPr>
      </w:pPr>
      <w:r>
        <w:rPr>
          <w:rFonts w:hint="eastAsia" w:ascii="Times New Roman" w:hAnsi="Times New Roman" w:eastAsia="宋体" w:cs="Times New Roman"/>
          <w:sz w:val="30"/>
          <w:szCs w:val="30"/>
        </w:rPr>
        <w:t>4日，浙江省防指办在临安举办省防指成员单位联络员培训班</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重点就《台风“梅花”“轩岚诺”防御应对复盘评估报告任务落实工作方案》作了交办部署</w:t>
      </w:r>
      <w:r>
        <w:rPr>
          <w:sz w:val="30"/>
          <w:szCs w:val="30"/>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10日，</w:t>
      </w:r>
      <w:r>
        <w:rPr>
          <w:rFonts w:hint="eastAsia" w:ascii="Times New Roman" w:hAnsi="Times New Roman" w:eastAsia="宋体" w:cs="Times New Roman"/>
          <w:sz w:val="30"/>
          <w:szCs w:val="30"/>
          <w:lang w:eastAsia="zh-CN"/>
        </w:rPr>
        <w:t>浙江</w:t>
      </w:r>
      <w:r>
        <w:rPr>
          <w:rFonts w:hint="eastAsia" w:ascii="Times New Roman" w:hAnsi="Times New Roman" w:eastAsia="宋体" w:cs="Times New Roman"/>
          <w:sz w:val="30"/>
          <w:szCs w:val="30"/>
        </w:rPr>
        <w:t>省防指办在绍兴市柯桥区召开全省市和部分县（市、</w:t>
      </w:r>
      <w:r>
        <w:rPr>
          <w:rFonts w:hint="eastAsia" w:ascii="Times New Roman" w:hAnsi="Times New Roman" w:eastAsia="宋体" w:cs="Times New Roman"/>
          <w:sz w:val="30"/>
          <w:szCs w:val="30"/>
          <w:lang w:eastAsia="zh-CN"/>
        </w:rPr>
        <w:t>区</w:t>
      </w:r>
      <w:r>
        <w:rPr>
          <w:rFonts w:hint="eastAsia" w:ascii="Times New Roman" w:hAnsi="Times New Roman" w:eastAsia="宋体" w:cs="Times New Roman"/>
          <w:sz w:val="30"/>
          <w:szCs w:val="30"/>
        </w:rPr>
        <w:t>）防汛抗旱负责人培训暨基层防汛防台体系标准化建设现场会</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部署全省基层防汛防台体系标准化建设省级验收工作。</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rPr>
        <w:t>21日，浙江省自然资源厅在杭州举办全省海洋预警监测业务培训班</w:t>
      </w:r>
      <w:r>
        <w:rPr>
          <w:rFonts w:hint="eastAsia" w:ascii="Times New Roman" w:hAnsi="Times New Roman" w:eastAsia="宋体" w:cs="Times New Roman"/>
          <w:sz w:val="30"/>
          <w:szCs w:val="30"/>
          <w:lang w:eastAsia="zh-CN"/>
        </w:rPr>
        <w:t>，</w:t>
      </w:r>
      <w:r>
        <w:rPr>
          <w:rFonts w:hint="eastAsia" w:ascii="Times New Roman" w:hAnsi="Times New Roman" w:eastAsia="宋体" w:cs="Times New Roman"/>
          <w:sz w:val="30"/>
          <w:szCs w:val="30"/>
          <w:lang w:val="en-US" w:eastAsia="zh-CN"/>
        </w:rPr>
        <w:t>重点围绕海洋预警监测业务管理、观测预报、防灾减灾、生态预警等工作进行了授课。</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sz w:val="30"/>
          <w:szCs w:val="30"/>
        </w:rPr>
      </w:pPr>
      <w:r>
        <w:rPr>
          <w:rFonts w:hint="eastAsia"/>
          <w:sz w:val="30"/>
          <w:szCs w:val="30"/>
        </w:rPr>
        <w:t>23日，</w:t>
      </w:r>
      <w:r>
        <w:rPr>
          <w:sz w:val="30"/>
          <w:szCs w:val="30"/>
        </w:rPr>
        <w:t>全国自然灾害综合风险普查第二次成果应用交流会系统演示会通过线上方式在嘉兴平湖召开，浙江省5家单位汇报演示普查成果数字化场景应用。</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12月</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sz w:val="30"/>
          <w:szCs w:val="30"/>
        </w:rPr>
      </w:pPr>
      <w:r>
        <w:rPr>
          <w:rFonts w:hint="eastAsia" w:ascii="Times New Roman" w:hAnsi="Times New Roman" w:eastAsia="宋体" w:cs="Times New Roman"/>
          <w:sz w:val="30"/>
          <w:szCs w:val="30"/>
        </w:rPr>
        <w:t>2日，</w:t>
      </w:r>
      <w:r>
        <w:rPr>
          <w:rFonts w:hint="eastAsia" w:ascii="Times New Roman" w:hAnsi="Times New Roman" w:eastAsia="宋体" w:cs="Times New Roman"/>
          <w:sz w:val="30"/>
          <w:szCs w:val="30"/>
          <w:lang w:eastAsia="zh-CN"/>
        </w:rPr>
        <w:t>浙江</w:t>
      </w:r>
      <w:r>
        <w:rPr>
          <w:rFonts w:hint="eastAsia" w:ascii="Times New Roman" w:hAnsi="Times New Roman" w:eastAsia="宋体" w:cs="Times New Roman"/>
          <w:sz w:val="30"/>
          <w:szCs w:val="30"/>
        </w:rPr>
        <w:t>省第二届社会应急力量救援队伍技能竞赛在宁波市镇海区举行</w:t>
      </w:r>
      <w:r>
        <w:rPr>
          <w:rFonts w:hint="eastAsia" w:ascii="Times New Roman" w:hAnsi="Times New Roman" w:eastAsia="宋体" w:cs="Times New Roman"/>
          <w:sz w:val="30"/>
          <w:szCs w:val="30"/>
          <w:lang w:eastAsia="zh-CN"/>
        </w:rPr>
        <w:t>，全省</w:t>
      </w:r>
      <w:r>
        <w:rPr>
          <w:rFonts w:hint="eastAsia" w:ascii="Times New Roman" w:hAnsi="Times New Roman" w:eastAsia="宋体" w:cs="Times New Roman"/>
          <w:sz w:val="30"/>
          <w:szCs w:val="30"/>
          <w:lang w:val="en-US" w:eastAsia="zh-CN"/>
        </w:rPr>
        <w:t>26支救援队伍共234名队员参加了竞赛，达到了以赛促教、以赛促学、以赛促训、以赛促改和以赛促建的竞赛目的。</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Times New Roman" w:hAnsi="Times New Roman" w:eastAsia="宋体" w:cs="Times New Roman"/>
          <w:sz w:val="30"/>
          <w:szCs w:val="30"/>
        </w:rPr>
      </w:pPr>
      <w:r>
        <w:rPr>
          <w:rFonts w:hint="eastAsia" w:ascii="Times New Roman" w:hAnsi="Times New Roman" w:eastAsia="宋体" w:cs="Times New Roman"/>
          <w:sz w:val="30"/>
          <w:szCs w:val="30"/>
          <w:lang w:val="en-US" w:eastAsia="zh-CN"/>
        </w:rPr>
        <w:t>浙江省第一个近岸波浪观测设施（平湖独山化工码头浪潮一体化观测设施）、全省第一个自建地波雷达站（洞头—南麂地波雷达站）、18个智能警戒潮位桩、两个典型海岛基础观测站（岱山鱼山站和嵊泗泗焦站）顺利投入使用。</w:t>
      </w:r>
    </w:p>
    <w:p>
      <w:pPr>
        <w:spacing w:before="156" w:beforeLines="50" w:line="360" w:lineRule="auto"/>
        <w:ind w:firstLine="600" w:firstLineChars="200"/>
        <w:rPr>
          <w:sz w:val="30"/>
          <w:szCs w:val="30"/>
        </w:rPr>
      </w:pPr>
    </w:p>
    <w:p>
      <w:pPr>
        <w:ind w:firstLine="600" w:firstLineChars="200"/>
        <w:rPr>
          <w:rFonts w:hint="eastAsia"/>
          <w:color w:val="FF0000"/>
          <w:sz w:val="30"/>
          <w:szCs w:val="30"/>
        </w:rPr>
      </w:pPr>
    </w:p>
    <w:p>
      <w:pPr>
        <w:pStyle w:val="2"/>
        <w:spacing w:before="0" w:after="0" w:line="240" w:lineRule="auto"/>
        <w:rPr>
          <w:rFonts w:ascii="黑体" w:hAnsi="黑体" w:eastAsia="黑体"/>
        </w:rPr>
      </w:pPr>
      <w:r>
        <w:br w:type="page"/>
      </w:r>
      <w:bookmarkStart w:id="30" w:name="_Toc942662"/>
      <w:bookmarkStart w:id="31" w:name="_Toc62823731"/>
      <w:bookmarkStart w:id="32" w:name="_Toc1548965478"/>
      <w:bookmarkStart w:id="33" w:name="_Toc535566774"/>
      <w:r>
        <w:rPr>
          <w:rFonts w:ascii="黑体" w:hAnsi="黑体" w:eastAsia="黑体"/>
        </w:rPr>
        <w:t>附录</w:t>
      </w:r>
      <w:r>
        <w:rPr>
          <w:rFonts w:hint="eastAsia" w:ascii="黑体" w:hAnsi="黑体" w:eastAsia="黑体"/>
        </w:rPr>
        <w:t xml:space="preserve">  </w:t>
      </w:r>
      <w:r>
        <w:rPr>
          <w:rFonts w:ascii="黑体" w:hAnsi="黑体" w:eastAsia="黑体"/>
        </w:rPr>
        <w:t>名词解释</w:t>
      </w:r>
      <w:bookmarkEnd w:id="30"/>
      <w:bookmarkEnd w:id="31"/>
      <w:bookmarkEnd w:id="32"/>
      <w:bookmarkEnd w:id="33"/>
    </w:p>
    <w:p>
      <w:pPr>
        <w:spacing w:before="156" w:beforeLines="50"/>
        <w:ind w:firstLine="600" w:firstLineChars="200"/>
        <w:rPr>
          <w:b/>
          <w:sz w:val="30"/>
          <w:szCs w:val="30"/>
        </w:rPr>
      </w:pPr>
      <w:r>
        <w:rPr>
          <w:rFonts w:hint="eastAsia"/>
          <w:b/>
          <w:sz w:val="30"/>
          <w:szCs w:val="30"/>
        </w:rPr>
        <w:t>海洋灾害</w:t>
      </w:r>
    </w:p>
    <w:p>
      <w:pPr>
        <w:ind w:firstLine="600" w:firstLineChars="200"/>
        <w:rPr>
          <w:sz w:val="30"/>
          <w:szCs w:val="30"/>
        </w:rPr>
      </w:pPr>
      <w:r>
        <w:rPr>
          <w:rFonts w:hint="eastAsia"/>
          <w:sz w:val="30"/>
          <w:szCs w:val="30"/>
        </w:rPr>
        <w:t xml:space="preserve">海洋自然环境发生异常或激烈变化，导致在海上或海岸带发生的严重危害社会、经济、环境和生命财产的事件，称为海洋灾害。 </w:t>
      </w:r>
    </w:p>
    <w:p>
      <w:pPr>
        <w:ind w:firstLine="600" w:firstLineChars="200"/>
        <w:rPr>
          <w:sz w:val="30"/>
          <w:szCs w:val="30"/>
        </w:rPr>
      </w:pPr>
      <w:r>
        <w:rPr>
          <w:rFonts w:hint="eastAsia"/>
          <w:sz w:val="30"/>
          <w:szCs w:val="30"/>
        </w:rPr>
        <w:t>本公报涉及的海洋灾害包括风暴潮灾害、海浪灾害、赤潮灾害、海平面变化、咸潮入侵、海岸侵蚀和海啸灾害。</w:t>
      </w:r>
    </w:p>
    <w:p>
      <w:pPr>
        <w:spacing w:before="156" w:beforeLines="50"/>
        <w:ind w:firstLine="600" w:firstLineChars="200"/>
        <w:rPr>
          <w:b/>
          <w:sz w:val="30"/>
          <w:szCs w:val="30"/>
        </w:rPr>
      </w:pPr>
      <w:r>
        <w:rPr>
          <w:rFonts w:hint="eastAsia"/>
          <w:b/>
          <w:sz w:val="30"/>
          <w:szCs w:val="30"/>
        </w:rPr>
        <w:t>风暴潮</w:t>
      </w:r>
    </w:p>
    <w:p>
      <w:pPr>
        <w:ind w:firstLine="600" w:firstLineChars="200"/>
        <w:rPr>
          <w:sz w:val="30"/>
          <w:szCs w:val="30"/>
        </w:rPr>
      </w:pPr>
      <w:r>
        <w:rPr>
          <w:rFonts w:hint="eastAsia"/>
          <w:sz w:val="30"/>
          <w:szCs w:val="30"/>
        </w:rPr>
        <w:t>风暴潮是热带气旋、温带气旋、海上飑线等风暴过境所伴随的强风和气压骤变而引起叠加在天文潮位之上的海面震荡或非周期性异常升高（降低）现象。</w:t>
      </w:r>
    </w:p>
    <w:p>
      <w:pPr>
        <w:ind w:firstLine="600" w:firstLineChars="200"/>
        <w:rPr>
          <w:sz w:val="30"/>
          <w:szCs w:val="30"/>
        </w:rPr>
      </w:pPr>
      <w:r>
        <w:rPr>
          <w:sz w:val="30"/>
          <w:szCs w:val="30"/>
        </w:rPr>
        <w:t>命名规则</w:t>
      </w:r>
      <w:r>
        <w:rPr>
          <w:rFonts w:hint="eastAsia"/>
          <w:sz w:val="30"/>
          <w:szCs w:val="30"/>
        </w:rPr>
        <w:t>：台风风暴潮一般按照“台风编号+‘台风名称’+台风风暴潮”命名，如由2020年第4号台风“黑格比”引发的风暴潮，命名为2004“黑格比”台风风暴潮。温带风暴潮一般按照“风暴潮过程发生时间+温带风暴潮”命名，如2</w:t>
      </w:r>
      <w:r>
        <w:rPr>
          <w:sz w:val="30"/>
          <w:szCs w:val="30"/>
        </w:rPr>
        <w:t>020年</w:t>
      </w:r>
      <w:r>
        <w:rPr>
          <w:rFonts w:hint="eastAsia"/>
          <w:sz w:val="30"/>
          <w:szCs w:val="30"/>
        </w:rPr>
        <w:t>12月29日发生的温带风暴潮，命名为“20201229”温带风暴潮。</w:t>
      </w:r>
    </w:p>
    <w:p>
      <w:pPr>
        <w:ind w:firstLine="600" w:firstLineChars="200"/>
        <w:rPr>
          <w:rFonts w:hint="eastAsia"/>
          <w:sz w:val="30"/>
          <w:szCs w:val="30"/>
        </w:rPr>
      </w:pPr>
      <w:r>
        <w:rPr>
          <w:rFonts w:hint="eastAsia"/>
          <w:sz w:val="30"/>
          <w:szCs w:val="30"/>
        </w:rPr>
        <w:t>警戒潮位指防护区沿岸可能出现险情或潮灾，需进入戒备或救灾状态的潮位既定值，从低到高分为蓝色、黄色、橙色、红色四个等级（见附表</w:t>
      </w:r>
      <w:r>
        <w:rPr>
          <w:sz w:val="30"/>
          <w:szCs w:val="30"/>
        </w:rPr>
        <w:t>1</w:t>
      </w:r>
      <w:r>
        <w:rPr>
          <w:rFonts w:hint="eastAsia"/>
          <w:sz w:val="30"/>
          <w:szCs w:val="30"/>
        </w:rPr>
        <w:t>）。</w:t>
      </w:r>
    </w:p>
    <w:p>
      <w:pPr>
        <w:ind w:firstLine="600" w:firstLineChars="200"/>
        <w:rPr>
          <w:rFonts w:hint="eastAsia"/>
          <w:sz w:val="30"/>
          <w:szCs w:val="30"/>
        </w:rPr>
      </w:pPr>
    </w:p>
    <w:p>
      <w:pPr>
        <w:ind w:firstLine="600" w:firstLineChars="200"/>
        <w:rPr>
          <w:rFonts w:hint="eastAsia"/>
          <w:sz w:val="30"/>
          <w:szCs w:val="30"/>
        </w:rPr>
      </w:pPr>
    </w:p>
    <w:p>
      <w:pPr>
        <w:adjustRightInd w:val="0"/>
        <w:spacing w:before="156" w:beforeLines="50"/>
        <w:jc w:val="center"/>
        <w:rPr>
          <w:rFonts w:eastAsia="黑体"/>
          <w:sz w:val="24"/>
        </w:rPr>
      </w:pPr>
      <w:r>
        <w:rPr>
          <w:rFonts w:eastAsia="黑体"/>
          <w:sz w:val="24"/>
        </w:rPr>
        <w:t>附表</w:t>
      </w:r>
      <w:r>
        <w:rPr>
          <w:rFonts w:hint="eastAsia" w:eastAsia="黑体"/>
          <w:sz w:val="24"/>
        </w:rPr>
        <w:t>1</w:t>
      </w:r>
      <w:r>
        <w:rPr>
          <w:rFonts w:eastAsia="黑体"/>
          <w:sz w:val="24"/>
        </w:rPr>
        <w:t xml:space="preserve">  </w:t>
      </w:r>
      <w:r>
        <w:rPr>
          <w:rFonts w:hint="eastAsia" w:eastAsia="黑体"/>
          <w:sz w:val="24"/>
        </w:rPr>
        <w:t>四色</w:t>
      </w:r>
      <w:r>
        <w:rPr>
          <w:rFonts w:eastAsia="黑体"/>
          <w:sz w:val="24"/>
        </w:rPr>
        <w:t>警戒潮位说明</w:t>
      </w:r>
    </w:p>
    <w:tbl>
      <w:tblPr>
        <w:tblStyle w:val="20"/>
        <w:tblW w:w="8817" w:type="dxa"/>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57" w:type="dxa"/>
          <w:left w:w="28" w:type="dxa"/>
          <w:bottom w:w="57" w:type="dxa"/>
          <w:right w:w="28" w:type="dxa"/>
        </w:tblCellMar>
      </w:tblPr>
      <w:tblGrid>
        <w:gridCol w:w="1588"/>
        <w:gridCol w:w="7229"/>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221" w:hRule="atLeast"/>
          <w:jc w:val="center"/>
        </w:trPr>
        <w:tc>
          <w:tcPr>
            <w:tcW w:w="1588" w:type="dxa"/>
            <w:shd w:val="clear" w:color="auto" w:fill="759AEB"/>
            <w:noWrap w:val="0"/>
            <w:vAlign w:val="center"/>
          </w:tcPr>
          <w:p>
            <w:pPr>
              <w:adjustRightInd w:val="0"/>
              <w:snapToGrid w:val="0"/>
              <w:spacing w:line="280" w:lineRule="exact"/>
              <w:jc w:val="center"/>
              <w:rPr>
                <w:rFonts w:ascii="宋体" w:hAnsi="宋体"/>
                <w:bCs/>
                <w:color w:val="FFFFFF"/>
                <w:szCs w:val="21"/>
              </w:rPr>
            </w:pPr>
            <w:r>
              <w:rPr>
                <w:rFonts w:hint="eastAsia" w:ascii="宋体" w:hAnsi="宋体"/>
                <w:bCs/>
                <w:color w:val="FFFFFF"/>
                <w:kern w:val="0"/>
                <w:szCs w:val="21"/>
              </w:rPr>
              <w:t>警戒</w:t>
            </w:r>
            <w:r>
              <w:rPr>
                <w:rFonts w:ascii="宋体" w:hAnsi="宋体"/>
                <w:bCs/>
                <w:color w:val="FFFFFF"/>
                <w:kern w:val="0"/>
                <w:szCs w:val="21"/>
              </w:rPr>
              <w:t>潮位分级</w:t>
            </w:r>
          </w:p>
        </w:tc>
        <w:tc>
          <w:tcPr>
            <w:tcW w:w="7229" w:type="dxa"/>
            <w:shd w:val="clear" w:color="auto" w:fill="759AEB"/>
            <w:noWrap w:val="0"/>
            <w:vAlign w:val="center"/>
          </w:tcPr>
          <w:p>
            <w:pPr>
              <w:adjustRightInd w:val="0"/>
              <w:snapToGrid w:val="0"/>
              <w:spacing w:line="280" w:lineRule="exact"/>
              <w:jc w:val="center"/>
              <w:rPr>
                <w:rFonts w:ascii="宋体" w:hAnsi="宋体"/>
                <w:bCs/>
                <w:color w:val="FFFFFF"/>
                <w:szCs w:val="21"/>
              </w:rPr>
            </w:pPr>
            <w:r>
              <w:rPr>
                <w:rFonts w:hint="eastAsia" w:ascii="宋体" w:hAnsi="宋体"/>
                <w:bCs/>
                <w:color w:val="FFFFFF"/>
                <w:kern w:val="0"/>
                <w:szCs w:val="21"/>
              </w:rPr>
              <w:t>说   明</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624" w:hRule="exact"/>
          <w:jc w:val="center"/>
        </w:trPr>
        <w:tc>
          <w:tcPr>
            <w:tcW w:w="1588" w:type="dxa"/>
            <w:shd w:val="clear" w:color="auto" w:fill="F0F5FA"/>
            <w:noWrap w:val="0"/>
            <w:vAlign w:val="center"/>
          </w:tcPr>
          <w:p>
            <w:pPr>
              <w:adjustRightInd w:val="0"/>
              <w:snapToGrid w:val="0"/>
              <w:jc w:val="center"/>
              <w:rPr>
                <w:bCs/>
                <w:szCs w:val="21"/>
              </w:rPr>
            </w:pPr>
            <w:r>
              <w:rPr>
                <w:bCs/>
                <w:szCs w:val="21"/>
              </w:rPr>
              <w:t>蓝色</w:t>
            </w:r>
            <w:r>
              <w:rPr>
                <w:rFonts w:hint="eastAsia"/>
                <w:bCs/>
                <w:szCs w:val="21"/>
              </w:rPr>
              <w:t>警戒潮位</w:t>
            </w:r>
          </w:p>
        </w:tc>
        <w:tc>
          <w:tcPr>
            <w:tcW w:w="7229" w:type="dxa"/>
            <w:shd w:val="clear" w:color="auto" w:fill="F0F5FA"/>
            <w:noWrap w:val="0"/>
            <w:vAlign w:val="center"/>
          </w:tcPr>
          <w:p>
            <w:pPr>
              <w:adjustRightInd w:val="0"/>
              <w:snapToGrid w:val="0"/>
              <w:jc w:val="left"/>
              <w:rPr>
                <w:bCs/>
                <w:szCs w:val="21"/>
              </w:rPr>
            </w:pPr>
            <w:r>
              <w:rPr>
                <w:bCs/>
                <w:szCs w:val="21"/>
              </w:rPr>
              <w:t>指海洋灾害预警部门发布风暴潮蓝色警报的潮位值</w:t>
            </w:r>
            <w:r>
              <w:rPr>
                <w:rFonts w:hint="eastAsia"/>
                <w:bCs/>
                <w:szCs w:val="21"/>
              </w:rPr>
              <w:t>，</w:t>
            </w:r>
            <w:r>
              <w:rPr>
                <w:bCs/>
                <w:szCs w:val="21"/>
              </w:rPr>
              <w:t>当潮位达到这一既定值时</w:t>
            </w:r>
            <w:r>
              <w:rPr>
                <w:rFonts w:hint="eastAsia"/>
                <w:bCs/>
                <w:szCs w:val="21"/>
              </w:rPr>
              <w:t>，</w:t>
            </w:r>
            <w:r>
              <w:rPr>
                <w:bCs/>
                <w:szCs w:val="21"/>
              </w:rPr>
              <w:t>防护区沿岸须进入戒备状态</w:t>
            </w:r>
            <w:r>
              <w:rPr>
                <w:rFonts w:hint="eastAsia"/>
                <w:bCs/>
                <w:szCs w:val="21"/>
              </w:rPr>
              <w:t>，</w:t>
            </w:r>
            <w:r>
              <w:rPr>
                <w:bCs/>
                <w:szCs w:val="21"/>
              </w:rPr>
              <w:t>预防潮灾的发生</w:t>
            </w:r>
            <w:r>
              <w:rPr>
                <w:rFonts w:hint="eastAsia"/>
                <w:bCs/>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624" w:hRule="exact"/>
          <w:jc w:val="center"/>
        </w:trPr>
        <w:tc>
          <w:tcPr>
            <w:tcW w:w="1588" w:type="dxa"/>
            <w:shd w:val="clear" w:color="auto" w:fill="D3E1F1"/>
            <w:noWrap w:val="0"/>
            <w:vAlign w:val="center"/>
          </w:tcPr>
          <w:p>
            <w:pPr>
              <w:widowControl/>
              <w:adjustRightInd w:val="0"/>
              <w:snapToGrid w:val="0"/>
              <w:jc w:val="center"/>
              <w:rPr>
                <w:bCs/>
                <w:szCs w:val="21"/>
              </w:rPr>
            </w:pPr>
            <w:r>
              <w:rPr>
                <w:bCs/>
                <w:szCs w:val="21"/>
              </w:rPr>
              <w:t>黄色</w:t>
            </w:r>
            <w:r>
              <w:rPr>
                <w:rFonts w:hint="eastAsia"/>
                <w:bCs/>
                <w:szCs w:val="21"/>
              </w:rPr>
              <w:t>警戒潮位</w:t>
            </w:r>
          </w:p>
        </w:tc>
        <w:tc>
          <w:tcPr>
            <w:tcW w:w="7229" w:type="dxa"/>
            <w:shd w:val="clear" w:color="auto" w:fill="D3E1F1"/>
            <w:noWrap w:val="0"/>
            <w:vAlign w:val="center"/>
          </w:tcPr>
          <w:p>
            <w:pPr>
              <w:widowControl/>
              <w:adjustRightInd w:val="0"/>
              <w:snapToGrid w:val="0"/>
              <w:jc w:val="left"/>
              <w:rPr>
                <w:bCs/>
                <w:szCs w:val="21"/>
              </w:rPr>
            </w:pPr>
            <w:r>
              <w:rPr>
                <w:bCs/>
                <w:szCs w:val="21"/>
              </w:rPr>
              <w:t>指海洋灾害预警部门发布风暴潮黄色警报的潮位值</w:t>
            </w:r>
            <w:r>
              <w:rPr>
                <w:rFonts w:hint="eastAsia"/>
                <w:bCs/>
                <w:szCs w:val="21"/>
              </w:rPr>
              <w:t>，</w:t>
            </w:r>
            <w:r>
              <w:rPr>
                <w:bCs/>
                <w:szCs w:val="21"/>
              </w:rPr>
              <w:t>当潮位达到这一既定值时</w:t>
            </w:r>
            <w:r>
              <w:rPr>
                <w:rFonts w:hint="eastAsia"/>
                <w:bCs/>
                <w:szCs w:val="21"/>
              </w:rPr>
              <w:t>，</w:t>
            </w:r>
            <w:r>
              <w:rPr>
                <w:bCs/>
                <w:szCs w:val="21"/>
              </w:rPr>
              <w:t>防护区沿岸可能出现轻微的海洋灾害</w:t>
            </w:r>
            <w:r>
              <w:rPr>
                <w:rFonts w:hint="eastAsia"/>
                <w:bCs/>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624" w:hRule="exact"/>
          <w:jc w:val="center"/>
        </w:trPr>
        <w:tc>
          <w:tcPr>
            <w:tcW w:w="1588" w:type="dxa"/>
            <w:shd w:val="clear" w:color="auto" w:fill="F0F5FA"/>
            <w:noWrap w:val="0"/>
            <w:vAlign w:val="center"/>
          </w:tcPr>
          <w:p>
            <w:pPr>
              <w:widowControl/>
              <w:adjustRightInd w:val="0"/>
              <w:snapToGrid w:val="0"/>
              <w:jc w:val="center"/>
              <w:rPr>
                <w:bCs/>
                <w:szCs w:val="21"/>
              </w:rPr>
            </w:pPr>
            <w:r>
              <w:rPr>
                <w:bCs/>
                <w:szCs w:val="21"/>
              </w:rPr>
              <w:t>橙色</w:t>
            </w:r>
            <w:r>
              <w:rPr>
                <w:rFonts w:hint="eastAsia"/>
                <w:bCs/>
                <w:szCs w:val="21"/>
              </w:rPr>
              <w:t>警戒潮位</w:t>
            </w:r>
          </w:p>
        </w:tc>
        <w:tc>
          <w:tcPr>
            <w:tcW w:w="7229" w:type="dxa"/>
            <w:shd w:val="clear" w:color="auto" w:fill="F0F5FA"/>
            <w:noWrap w:val="0"/>
            <w:vAlign w:val="center"/>
          </w:tcPr>
          <w:p>
            <w:pPr>
              <w:widowControl/>
              <w:adjustRightInd w:val="0"/>
              <w:snapToGrid w:val="0"/>
              <w:jc w:val="left"/>
              <w:rPr>
                <w:bCs/>
                <w:szCs w:val="21"/>
              </w:rPr>
            </w:pPr>
            <w:r>
              <w:rPr>
                <w:bCs/>
                <w:szCs w:val="21"/>
              </w:rPr>
              <w:t>指海洋灾害预警部门发布风暴潮橙色警报的潮位值</w:t>
            </w:r>
            <w:r>
              <w:rPr>
                <w:rFonts w:hint="eastAsia"/>
                <w:bCs/>
                <w:szCs w:val="21"/>
              </w:rPr>
              <w:t>，</w:t>
            </w:r>
            <w:r>
              <w:rPr>
                <w:bCs/>
                <w:szCs w:val="21"/>
              </w:rPr>
              <w:t>当潮位达到这一既定值时</w:t>
            </w:r>
            <w:r>
              <w:rPr>
                <w:rFonts w:hint="eastAsia"/>
                <w:bCs/>
                <w:szCs w:val="21"/>
              </w:rPr>
              <w:t>，</w:t>
            </w:r>
            <w:r>
              <w:rPr>
                <w:bCs/>
                <w:szCs w:val="21"/>
              </w:rPr>
              <w:t>防护区沿岸可能出现较大的海洋灾害</w:t>
            </w:r>
            <w:r>
              <w:rPr>
                <w:rFonts w:hint="eastAsia"/>
                <w:bCs/>
                <w:szCs w:val="21"/>
              </w:rPr>
              <w:t>。</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913" w:hRule="exact"/>
          <w:jc w:val="center"/>
        </w:trPr>
        <w:tc>
          <w:tcPr>
            <w:tcW w:w="1588" w:type="dxa"/>
            <w:shd w:val="clear" w:color="auto" w:fill="D3E1F1"/>
            <w:noWrap w:val="0"/>
            <w:vAlign w:val="center"/>
          </w:tcPr>
          <w:p>
            <w:pPr>
              <w:widowControl/>
              <w:adjustRightInd w:val="0"/>
              <w:snapToGrid w:val="0"/>
              <w:jc w:val="center"/>
              <w:rPr>
                <w:bCs/>
                <w:szCs w:val="21"/>
              </w:rPr>
            </w:pPr>
            <w:r>
              <w:rPr>
                <w:bCs/>
                <w:szCs w:val="21"/>
              </w:rPr>
              <w:t>红色</w:t>
            </w:r>
            <w:r>
              <w:rPr>
                <w:rFonts w:hint="eastAsia"/>
                <w:bCs/>
                <w:szCs w:val="21"/>
              </w:rPr>
              <w:t>警戒潮位</w:t>
            </w:r>
          </w:p>
        </w:tc>
        <w:tc>
          <w:tcPr>
            <w:tcW w:w="7229" w:type="dxa"/>
            <w:shd w:val="clear" w:color="auto" w:fill="D3E1F1"/>
            <w:noWrap w:val="0"/>
            <w:vAlign w:val="center"/>
          </w:tcPr>
          <w:p>
            <w:pPr>
              <w:widowControl/>
              <w:adjustRightInd w:val="0"/>
              <w:snapToGrid w:val="0"/>
              <w:jc w:val="left"/>
              <w:rPr>
                <w:bCs/>
                <w:szCs w:val="21"/>
              </w:rPr>
            </w:pPr>
            <w:r>
              <w:rPr>
                <w:bCs/>
                <w:szCs w:val="21"/>
              </w:rPr>
              <w:t>指防护区沿岸及其附属工程能保证安全运行的上限潮位</w:t>
            </w:r>
            <w:r>
              <w:rPr>
                <w:rFonts w:hint="eastAsia"/>
                <w:bCs/>
                <w:szCs w:val="21"/>
              </w:rPr>
              <w:t>，</w:t>
            </w:r>
            <w:r>
              <w:rPr>
                <w:bCs/>
                <w:szCs w:val="21"/>
              </w:rPr>
              <w:t>是海洋灾害预警部门发布风暴潮红色警报的潮位值</w:t>
            </w:r>
            <w:r>
              <w:rPr>
                <w:rFonts w:hint="eastAsia"/>
                <w:bCs/>
                <w:szCs w:val="21"/>
              </w:rPr>
              <w:t>。</w:t>
            </w:r>
            <w:r>
              <w:rPr>
                <w:bCs/>
                <w:szCs w:val="21"/>
              </w:rPr>
              <w:t>当潮位达到这一既定值时</w:t>
            </w:r>
            <w:r>
              <w:rPr>
                <w:rFonts w:hint="eastAsia"/>
                <w:bCs/>
                <w:szCs w:val="21"/>
              </w:rPr>
              <w:t>，</w:t>
            </w:r>
            <w:r>
              <w:rPr>
                <w:bCs/>
                <w:szCs w:val="21"/>
              </w:rPr>
              <w:t>防护区沿岸可能出现重大的海洋灾害</w:t>
            </w:r>
            <w:r>
              <w:rPr>
                <w:rFonts w:hint="eastAsia"/>
                <w:bCs/>
                <w:szCs w:val="21"/>
              </w:rPr>
              <w:t>。</w:t>
            </w:r>
          </w:p>
        </w:tc>
      </w:tr>
    </w:tbl>
    <w:p>
      <w:pPr>
        <w:spacing w:before="156" w:beforeLines="50"/>
        <w:ind w:firstLine="600" w:firstLineChars="200"/>
        <w:rPr>
          <w:b/>
          <w:sz w:val="30"/>
          <w:szCs w:val="30"/>
        </w:rPr>
      </w:pPr>
      <w:r>
        <w:rPr>
          <w:rFonts w:hint="eastAsia"/>
          <w:b/>
          <w:sz w:val="30"/>
          <w:szCs w:val="30"/>
        </w:rPr>
        <w:t>海浪</w:t>
      </w:r>
    </w:p>
    <w:p>
      <w:pPr>
        <w:ind w:firstLine="600" w:firstLineChars="200"/>
        <w:rPr>
          <w:sz w:val="30"/>
          <w:szCs w:val="30"/>
        </w:rPr>
      </w:pPr>
      <w:r>
        <w:rPr>
          <w:rFonts w:hint="eastAsia"/>
          <w:sz w:val="30"/>
          <w:szCs w:val="30"/>
        </w:rPr>
        <w:t>海浪是由风引起的海面波动现象，主要包括风浪和涌浪。按照诱发海浪的大气扰动特征来分类，由热带气旋引起的海浪称为台风浪；由温带气旋引起的海浪称为气旋浪；由冷空气引起的海浪称为冷空气浪。</w:t>
      </w:r>
    </w:p>
    <w:p>
      <w:pPr>
        <w:ind w:firstLine="600" w:firstLineChars="200"/>
        <w:rPr>
          <w:sz w:val="30"/>
          <w:szCs w:val="30"/>
        </w:rPr>
      </w:pPr>
      <w:r>
        <w:rPr>
          <w:sz w:val="30"/>
          <w:szCs w:val="30"/>
        </w:rPr>
        <w:t>将某一时段连续测得的所有波高按大小排列，取总个数中的前1/3个大波波高的平均值，称为有效波高。根据国际波级表规定，海浪级别按照有效波高进行划分（见附表</w:t>
      </w:r>
      <w:r>
        <w:rPr>
          <w:rFonts w:hint="eastAsia"/>
          <w:sz w:val="30"/>
          <w:szCs w:val="30"/>
        </w:rPr>
        <w:t>2</w:t>
      </w:r>
      <w:r>
        <w:rPr>
          <w:sz w:val="30"/>
          <w:szCs w:val="30"/>
        </w:rPr>
        <w:t>）。</w:t>
      </w:r>
    </w:p>
    <w:p>
      <w:pPr>
        <w:adjustRightInd w:val="0"/>
        <w:spacing w:before="156" w:beforeLines="50" w:after="156" w:afterLines="50"/>
        <w:jc w:val="center"/>
        <w:rPr>
          <w:rFonts w:eastAsia="黑体"/>
          <w:sz w:val="24"/>
        </w:rPr>
      </w:pPr>
      <w:r>
        <w:rPr>
          <w:rFonts w:eastAsia="黑体"/>
          <w:sz w:val="24"/>
        </w:rPr>
        <w:t>附表</w:t>
      </w:r>
      <w:r>
        <w:rPr>
          <w:rFonts w:hint="eastAsia" w:eastAsia="黑体"/>
          <w:sz w:val="24"/>
        </w:rPr>
        <w:t>2</w:t>
      </w:r>
      <w:r>
        <w:rPr>
          <w:rFonts w:eastAsia="黑体"/>
          <w:sz w:val="24"/>
        </w:rPr>
        <w:t xml:space="preserve">  海浪级别划分</w:t>
      </w:r>
    </w:p>
    <w:tbl>
      <w:tblPr>
        <w:tblStyle w:val="20"/>
        <w:tblW w:w="9014" w:type="dxa"/>
        <w:jc w:val="center"/>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57" w:type="dxa"/>
          <w:left w:w="28" w:type="dxa"/>
          <w:bottom w:w="57" w:type="dxa"/>
          <w:right w:w="28" w:type="dxa"/>
        </w:tblCellMar>
      </w:tblPr>
      <w:tblGrid>
        <w:gridCol w:w="2253"/>
        <w:gridCol w:w="2253"/>
        <w:gridCol w:w="2254"/>
        <w:gridCol w:w="2254"/>
      </w:tblGrid>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340" w:hRule="exact"/>
          <w:jc w:val="center"/>
        </w:trPr>
        <w:tc>
          <w:tcPr>
            <w:tcW w:w="2253" w:type="dxa"/>
            <w:shd w:val="clear" w:color="auto" w:fill="759AEB"/>
            <w:noWrap w:val="0"/>
            <w:vAlign w:val="center"/>
          </w:tcPr>
          <w:p>
            <w:pPr>
              <w:snapToGrid w:val="0"/>
              <w:jc w:val="center"/>
              <w:rPr>
                <w:rFonts w:eastAsia="黑体"/>
                <w:bCs/>
                <w:color w:val="FFFFFF"/>
                <w:szCs w:val="21"/>
              </w:rPr>
            </w:pPr>
            <w:r>
              <w:rPr>
                <w:rFonts w:eastAsia="黑体"/>
                <w:bCs/>
                <w:color w:val="FFFFFF"/>
                <w:kern w:val="0"/>
                <w:szCs w:val="21"/>
              </w:rPr>
              <w:t>海浪级别</w:t>
            </w:r>
          </w:p>
        </w:tc>
        <w:tc>
          <w:tcPr>
            <w:tcW w:w="2253" w:type="dxa"/>
            <w:shd w:val="clear" w:color="auto" w:fill="759AEB"/>
            <w:noWrap w:val="0"/>
            <w:vAlign w:val="center"/>
          </w:tcPr>
          <w:p>
            <w:pPr>
              <w:snapToGrid w:val="0"/>
              <w:jc w:val="center"/>
              <w:rPr>
                <w:rFonts w:eastAsia="黑体"/>
                <w:bCs/>
                <w:color w:val="FFFFFF"/>
                <w:szCs w:val="21"/>
              </w:rPr>
            </w:pPr>
            <w:r>
              <w:rPr>
                <w:rFonts w:eastAsia="黑体"/>
                <w:bCs/>
                <w:color w:val="FFFFFF"/>
                <w:kern w:val="0"/>
                <w:szCs w:val="21"/>
              </w:rPr>
              <w:t>有效波高</w:t>
            </w:r>
            <w:r>
              <w:rPr>
                <w:rFonts w:hint="eastAsia" w:eastAsia="黑体"/>
                <w:bCs/>
                <w:color w:val="FFFFFF"/>
                <w:kern w:val="0"/>
                <w:szCs w:val="21"/>
              </w:rPr>
              <w:t>（米）</w:t>
            </w:r>
          </w:p>
        </w:tc>
        <w:tc>
          <w:tcPr>
            <w:tcW w:w="2254" w:type="dxa"/>
            <w:shd w:val="clear" w:color="auto" w:fill="759AEB"/>
            <w:noWrap w:val="0"/>
            <w:vAlign w:val="center"/>
          </w:tcPr>
          <w:p>
            <w:pPr>
              <w:snapToGrid w:val="0"/>
              <w:jc w:val="center"/>
              <w:rPr>
                <w:rFonts w:eastAsia="黑体"/>
                <w:bCs/>
                <w:color w:val="FFFFFF"/>
                <w:szCs w:val="21"/>
              </w:rPr>
            </w:pPr>
            <w:r>
              <w:rPr>
                <w:rFonts w:eastAsia="黑体"/>
                <w:bCs/>
                <w:color w:val="FFFFFF"/>
                <w:kern w:val="0"/>
                <w:szCs w:val="21"/>
              </w:rPr>
              <w:t>海浪级别</w:t>
            </w:r>
          </w:p>
        </w:tc>
        <w:tc>
          <w:tcPr>
            <w:tcW w:w="2254" w:type="dxa"/>
            <w:shd w:val="clear" w:color="auto" w:fill="759AEB"/>
            <w:noWrap w:val="0"/>
            <w:vAlign w:val="center"/>
          </w:tcPr>
          <w:p>
            <w:pPr>
              <w:snapToGrid w:val="0"/>
              <w:jc w:val="center"/>
              <w:rPr>
                <w:rFonts w:eastAsia="黑体"/>
                <w:bCs/>
                <w:color w:val="FFFFFF"/>
                <w:szCs w:val="21"/>
              </w:rPr>
            </w:pPr>
            <w:r>
              <w:rPr>
                <w:rFonts w:eastAsia="黑体"/>
                <w:bCs/>
                <w:color w:val="FFFFFF"/>
                <w:kern w:val="0"/>
                <w:szCs w:val="21"/>
              </w:rPr>
              <w:t>有效波高</w:t>
            </w:r>
            <w:r>
              <w:rPr>
                <w:rFonts w:hint="eastAsia" w:eastAsia="黑体"/>
                <w:bCs/>
                <w:color w:val="FFFFFF"/>
                <w:kern w:val="0"/>
                <w:szCs w:val="21"/>
              </w:rPr>
              <w:t>（米）</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340" w:hRule="exact"/>
          <w:jc w:val="center"/>
        </w:trPr>
        <w:tc>
          <w:tcPr>
            <w:tcW w:w="2253" w:type="dxa"/>
            <w:shd w:val="clear" w:color="auto" w:fill="F0F5FA"/>
            <w:noWrap w:val="0"/>
            <w:vAlign w:val="center"/>
          </w:tcPr>
          <w:p>
            <w:pPr>
              <w:snapToGrid w:val="0"/>
              <w:jc w:val="center"/>
              <w:rPr>
                <w:bCs/>
                <w:szCs w:val="21"/>
              </w:rPr>
            </w:pPr>
            <w:r>
              <w:rPr>
                <w:kern w:val="0"/>
                <w:szCs w:val="21"/>
              </w:rPr>
              <w:t>微浪</w:t>
            </w:r>
          </w:p>
        </w:tc>
        <w:tc>
          <w:tcPr>
            <w:tcW w:w="2253" w:type="dxa"/>
            <w:shd w:val="clear" w:color="auto" w:fill="F0F5FA"/>
            <w:noWrap w:val="0"/>
            <w:vAlign w:val="center"/>
          </w:tcPr>
          <w:p>
            <w:pPr>
              <w:snapToGrid w:val="0"/>
              <w:jc w:val="center"/>
              <w:rPr>
                <w:bCs/>
                <w:szCs w:val="21"/>
              </w:rPr>
            </w:pPr>
            <w:r>
              <w:rPr>
                <w:i/>
                <w:kern w:val="0"/>
                <w:szCs w:val="21"/>
              </w:rPr>
              <w:t>H</w:t>
            </w:r>
            <w:r>
              <w:rPr>
                <w:kern w:val="0"/>
                <w:szCs w:val="21"/>
              </w:rPr>
              <w:t>s＜0.1</w:t>
            </w:r>
          </w:p>
        </w:tc>
        <w:tc>
          <w:tcPr>
            <w:tcW w:w="2254" w:type="dxa"/>
            <w:shd w:val="clear" w:color="auto" w:fill="F0F5FA"/>
            <w:noWrap w:val="0"/>
            <w:vAlign w:val="center"/>
          </w:tcPr>
          <w:p>
            <w:pPr>
              <w:snapToGrid w:val="0"/>
              <w:jc w:val="center"/>
              <w:rPr>
                <w:bCs/>
                <w:szCs w:val="21"/>
              </w:rPr>
            </w:pPr>
            <w:r>
              <w:rPr>
                <w:kern w:val="0"/>
                <w:szCs w:val="21"/>
              </w:rPr>
              <w:t>巨浪</w:t>
            </w:r>
          </w:p>
        </w:tc>
        <w:tc>
          <w:tcPr>
            <w:tcW w:w="2254" w:type="dxa"/>
            <w:shd w:val="clear" w:color="auto" w:fill="F0F5FA"/>
            <w:noWrap w:val="0"/>
            <w:vAlign w:val="center"/>
          </w:tcPr>
          <w:p>
            <w:pPr>
              <w:snapToGrid w:val="0"/>
              <w:jc w:val="center"/>
              <w:rPr>
                <w:bCs/>
                <w:szCs w:val="21"/>
              </w:rPr>
            </w:pPr>
            <w:r>
              <w:rPr>
                <w:kern w:val="0"/>
                <w:szCs w:val="21"/>
              </w:rPr>
              <w:t>4.0</w:t>
            </w:r>
            <w:r>
              <w:rPr>
                <w:rFonts w:ascii="宋体" w:hAnsi="宋体"/>
                <w:kern w:val="0"/>
                <w:szCs w:val="21"/>
              </w:rPr>
              <w:t>≤</w:t>
            </w:r>
            <w:r>
              <w:rPr>
                <w:i/>
                <w:kern w:val="0"/>
                <w:szCs w:val="21"/>
              </w:rPr>
              <w:t>H</w:t>
            </w:r>
            <w:r>
              <w:rPr>
                <w:kern w:val="0"/>
                <w:szCs w:val="21"/>
              </w:rPr>
              <w:t>s＜6.0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340" w:hRule="exact"/>
          <w:jc w:val="center"/>
        </w:trPr>
        <w:tc>
          <w:tcPr>
            <w:tcW w:w="2253" w:type="dxa"/>
            <w:shd w:val="clear" w:color="auto" w:fill="D3E1F1"/>
            <w:noWrap w:val="0"/>
            <w:vAlign w:val="center"/>
          </w:tcPr>
          <w:p>
            <w:pPr>
              <w:widowControl/>
              <w:snapToGrid w:val="0"/>
              <w:jc w:val="center"/>
              <w:rPr>
                <w:bCs/>
                <w:szCs w:val="21"/>
              </w:rPr>
            </w:pPr>
            <w:r>
              <w:rPr>
                <w:kern w:val="0"/>
                <w:szCs w:val="21"/>
              </w:rPr>
              <w:t>小浪</w:t>
            </w:r>
          </w:p>
        </w:tc>
        <w:tc>
          <w:tcPr>
            <w:tcW w:w="2253" w:type="dxa"/>
            <w:shd w:val="clear" w:color="auto" w:fill="D3E1F1"/>
            <w:noWrap w:val="0"/>
            <w:vAlign w:val="center"/>
          </w:tcPr>
          <w:p>
            <w:pPr>
              <w:widowControl/>
              <w:snapToGrid w:val="0"/>
              <w:jc w:val="center"/>
              <w:rPr>
                <w:bCs/>
                <w:szCs w:val="21"/>
              </w:rPr>
            </w:pPr>
            <w:r>
              <w:rPr>
                <w:kern w:val="0"/>
                <w:szCs w:val="21"/>
              </w:rPr>
              <w:t>0.1</w:t>
            </w:r>
            <w:r>
              <w:rPr>
                <w:rFonts w:hint="eastAsia" w:ascii="宋体" w:hAnsi="宋体"/>
                <w:kern w:val="0"/>
                <w:szCs w:val="21"/>
              </w:rPr>
              <w:t>≤</w:t>
            </w:r>
            <w:r>
              <w:rPr>
                <w:i/>
                <w:kern w:val="0"/>
                <w:szCs w:val="21"/>
              </w:rPr>
              <w:t>H</w:t>
            </w:r>
            <w:r>
              <w:rPr>
                <w:kern w:val="0"/>
                <w:szCs w:val="21"/>
              </w:rPr>
              <w:t>s＜0.5</w:t>
            </w:r>
          </w:p>
        </w:tc>
        <w:tc>
          <w:tcPr>
            <w:tcW w:w="2254" w:type="dxa"/>
            <w:shd w:val="clear" w:color="auto" w:fill="D3E1F1"/>
            <w:noWrap w:val="0"/>
            <w:vAlign w:val="center"/>
          </w:tcPr>
          <w:p>
            <w:pPr>
              <w:widowControl/>
              <w:snapToGrid w:val="0"/>
              <w:jc w:val="center"/>
              <w:rPr>
                <w:bCs/>
                <w:szCs w:val="21"/>
              </w:rPr>
            </w:pPr>
            <w:r>
              <w:rPr>
                <w:kern w:val="0"/>
                <w:szCs w:val="21"/>
              </w:rPr>
              <w:t>狂浪</w:t>
            </w:r>
          </w:p>
        </w:tc>
        <w:tc>
          <w:tcPr>
            <w:tcW w:w="2254" w:type="dxa"/>
            <w:shd w:val="clear" w:color="auto" w:fill="D3E1F1"/>
            <w:noWrap w:val="0"/>
            <w:vAlign w:val="center"/>
          </w:tcPr>
          <w:p>
            <w:pPr>
              <w:widowControl/>
              <w:snapToGrid w:val="0"/>
              <w:jc w:val="center"/>
              <w:rPr>
                <w:bCs/>
                <w:szCs w:val="21"/>
              </w:rPr>
            </w:pPr>
            <w:r>
              <w:rPr>
                <w:kern w:val="0"/>
                <w:szCs w:val="21"/>
              </w:rPr>
              <w:t>6.0</w:t>
            </w:r>
            <w:r>
              <w:rPr>
                <w:rFonts w:ascii="宋体" w:hAnsi="宋体"/>
                <w:kern w:val="0"/>
                <w:szCs w:val="21"/>
              </w:rPr>
              <w:t>≤</w:t>
            </w:r>
            <w:r>
              <w:rPr>
                <w:i/>
                <w:kern w:val="0"/>
                <w:szCs w:val="21"/>
              </w:rPr>
              <w:t>H</w:t>
            </w:r>
            <w:r>
              <w:rPr>
                <w:kern w:val="0"/>
                <w:szCs w:val="21"/>
              </w:rPr>
              <w:t>s＜9.0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340" w:hRule="exact"/>
          <w:jc w:val="center"/>
        </w:trPr>
        <w:tc>
          <w:tcPr>
            <w:tcW w:w="2253" w:type="dxa"/>
            <w:shd w:val="clear" w:color="auto" w:fill="F0F5FA"/>
            <w:noWrap w:val="0"/>
            <w:vAlign w:val="center"/>
          </w:tcPr>
          <w:p>
            <w:pPr>
              <w:widowControl/>
              <w:snapToGrid w:val="0"/>
              <w:jc w:val="center"/>
              <w:rPr>
                <w:bCs/>
                <w:szCs w:val="21"/>
              </w:rPr>
            </w:pPr>
            <w:r>
              <w:rPr>
                <w:kern w:val="0"/>
                <w:szCs w:val="21"/>
              </w:rPr>
              <w:t>轻浪</w:t>
            </w:r>
          </w:p>
        </w:tc>
        <w:tc>
          <w:tcPr>
            <w:tcW w:w="2253" w:type="dxa"/>
            <w:shd w:val="clear" w:color="auto" w:fill="F0F5FA"/>
            <w:noWrap w:val="0"/>
            <w:vAlign w:val="center"/>
          </w:tcPr>
          <w:p>
            <w:pPr>
              <w:widowControl/>
              <w:snapToGrid w:val="0"/>
              <w:jc w:val="center"/>
              <w:rPr>
                <w:bCs/>
                <w:szCs w:val="21"/>
              </w:rPr>
            </w:pPr>
            <w:r>
              <w:rPr>
                <w:kern w:val="0"/>
                <w:szCs w:val="21"/>
              </w:rPr>
              <w:t>0.5</w:t>
            </w:r>
            <w:r>
              <w:rPr>
                <w:rFonts w:ascii="宋体" w:hAnsi="宋体"/>
                <w:kern w:val="0"/>
                <w:szCs w:val="21"/>
              </w:rPr>
              <w:t>≤</w:t>
            </w:r>
            <w:r>
              <w:rPr>
                <w:i/>
                <w:kern w:val="0"/>
                <w:szCs w:val="21"/>
              </w:rPr>
              <w:t>H</w:t>
            </w:r>
            <w:r>
              <w:rPr>
                <w:kern w:val="0"/>
                <w:szCs w:val="21"/>
              </w:rPr>
              <w:t>s＜1.25</w:t>
            </w:r>
          </w:p>
        </w:tc>
        <w:tc>
          <w:tcPr>
            <w:tcW w:w="2254" w:type="dxa"/>
            <w:shd w:val="clear" w:color="auto" w:fill="F0F5FA"/>
            <w:noWrap w:val="0"/>
            <w:vAlign w:val="center"/>
          </w:tcPr>
          <w:p>
            <w:pPr>
              <w:widowControl/>
              <w:snapToGrid w:val="0"/>
              <w:jc w:val="center"/>
              <w:rPr>
                <w:bCs/>
                <w:szCs w:val="21"/>
              </w:rPr>
            </w:pPr>
            <w:r>
              <w:rPr>
                <w:kern w:val="0"/>
                <w:szCs w:val="21"/>
              </w:rPr>
              <w:t>狂涛</w:t>
            </w:r>
          </w:p>
        </w:tc>
        <w:tc>
          <w:tcPr>
            <w:tcW w:w="2254" w:type="dxa"/>
            <w:shd w:val="clear" w:color="auto" w:fill="F0F5FA"/>
            <w:noWrap w:val="0"/>
            <w:vAlign w:val="center"/>
          </w:tcPr>
          <w:p>
            <w:pPr>
              <w:widowControl/>
              <w:snapToGrid w:val="0"/>
              <w:jc w:val="center"/>
              <w:rPr>
                <w:bCs/>
                <w:szCs w:val="21"/>
              </w:rPr>
            </w:pPr>
            <w:r>
              <w:rPr>
                <w:kern w:val="0"/>
                <w:szCs w:val="21"/>
              </w:rPr>
              <w:t>9.0</w:t>
            </w:r>
            <w:r>
              <w:rPr>
                <w:rFonts w:ascii="宋体" w:hAnsi="宋体"/>
                <w:kern w:val="0"/>
                <w:szCs w:val="21"/>
              </w:rPr>
              <w:t>≤</w:t>
            </w:r>
            <w:r>
              <w:rPr>
                <w:i/>
                <w:kern w:val="0"/>
                <w:szCs w:val="21"/>
              </w:rPr>
              <w:t>H</w:t>
            </w:r>
            <w:r>
              <w:rPr>
                <w:kern w:val="0"/>
                <w:szCs w:val="21"/>
              </w:rPr>
              <w:t>s＜14.0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340" w:hRule="exact"/>
          <w:jc w:val="center"/>
        </w:trPr>
        <w:tc>
          <w:tcPr>
            <w:tcW w:w="2253" w:type="dxa"/>
            <w:shd w:val="clear" w:color="auto" w:fill="D3E1F1"/>
            <w:noWrap w:val="0"/>
            <w:vAlign w:val="center"/>
          </w:tcPr>
          <w:p>
            <w:pPr>
              <w:widowControl/>
              <w:snapToGrid w:val="0"/>
              <w:jc w:val="center"/>
              <w:rPr>
                <w:bCs/>
                <w:szCs w:val="21"/>
              </w:rPr>
            </w:pPr>
            <w:r>
              <w:rPr>
                <w:kern w:val="0"/>
                <w:szCs w:val="21"/>
              </w:rPr>
              <w:t>中浪</w:t>
            </w:r>
          </w:p>
        </w:tc>
        <w:tc>
          <w:tcPr>
            <w:tcW w:w="2253" w:type="dxa"/>
            <w:shd w:val="clear" w:color="auto" w:fill="D3E1F1"/>
            <w:noWrap w:val="0"/>
            <w:vAlign w:val="center"/>
          </w:tcPr>
          <w:p>
            <w:pPr>
              <w:widowControl/>
              <w:snapToGrid w:val="0"/>
              <w:jc w:val="center"/>
              <w:rPr>
                <w:bCs/>
                <w:szCs w:val="21"/>
              </w:rPr>
            </w:pPr>
            <w:r>
              <w:rPr>
                <w:kern w:val="0"/>
                <w:szCs w:val="21"/>
              </w:rPr>
              <w:t>1.25</w:t>
            </w:r>
            <w:r>
              <w:rPr>
                <w:rFonts w:ascii="宋体" w:hAnsi="宋体"/>
                <w:kern w:val="0"/>
                <w:szCs w:val="21"/>
              </w:rPr>
              <w:t>≤</w:t>
            </w:r>
            <w:r>
              <w:rPr>
                <w:i/>
                <w:kern w:val="0"/>
                <w:szCs w:val="21"/>
              </w:rPr>
              <w:t>H</w:t>
            </w:r>
            <w:r>
              <w:rPr>
                <w:kern w:val="0"/>
                <w:szCs w:val="21"/>
              </w:rPr>
              <w:t>s＜2.5</w:t>
            </w:r>
          </w:p>
        </w:tc>
        <w:tc>
          <w:tcPr>
            <w:tcW w:w="2254" w:type="dxa"/>
            <w:shd w:val="clear" w:color="auto" w:fill="D3E1F1"/>
            <w:noWrap w:val="0"/>
            <w:vAlign w:val="center"/>
          </w:tcPr>
          <w:p>
            <w:pPr>
              <w:widowControl/>
              <w:snapToGrid w:val="0"/>
              <w:jc w:val="center"/>
              <w:rPr>
                <w:bCs/>
                <w:szCs w:val="21"/>
              </w:rPr>
            </w:pPr>
            <w:r>
              <w:rPr>
                <w:kern w:val="0"/>
                <w:szCs w:val="21"/>
              </w:rPr>
              <w:t>怒涛</w:t>
            </w:r>
          </w:p>
        </w:tc>
        <w:tc>
          <w:tcPr>
            <w:tcW w:w="2254" w:type="dxa"/>
            <w:shd w:val="clear" w:color="auto" w:fill="D3E1F1"/>
            <w:noWrap w:val="0"/>
            <w:vAlign w:val="center"/>
          </w:tcPr>
          <w:p>
            <w:pPr>
              <w:widowControl/>
              <w:snapToGrid w:val="0"/>
              <w:jc w:val="center"/>
              <w:rPr>
                <w:bCs/>
                <w:szCs w:val="21"/>
              </w:rPr>
            </w:pPr>
            <w:r>
              <w:rPr>
                <w:i/>
                <w:kern w:val="0"/>
                <w:szCs w:val="21"/>
              </w:rPr>
              <w:t>H</w:t>
            </w:r>
            <w:r>
              <w:rPr>
                <w:kern w:val="0"/>
                <w:szCs w:val="21"/>
              </w:rPr>
              <w:t>s</w:t>
            </w:r>
            <w:r>
              <w:rPr>
                <w:rFonts w:ascii="宋体" w:hAnsi="宋体"/>
                <w:kern w:val="0"/>
                <w:szCs w:val="21"/>
              </w:rPr>
              <w:t>≥</w:t>
            </w:r>
            <w:r>
              <w:rPr>
                <w:kern w:val="0"/>
                <w:szCs w:val="21"/>
              </w:rPr>
              <w:t>14.0</w:t>
            </w: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trHeight w:val="340" w:hRule="exact"/>
          <w:jc w:val="center"/>
        </w:trPr>
        <w:tc>
          <w:tcPr>
            <w:tcW w:w="2253" w:type="dxa"/>
            <w:shd w:val="clear" w:color="auto" w:fill="F0F5FA"/>
            <w:noWrap w:val="0"/>
            <w:vAlign w:val="center"/>
          </w:tcPr>
          <w:p>
            <w:pPr>
              <w:snapToGrid w:val="0"/>
              <w:jc w:val="center"/>
              <w:rPr>
                <w:bCs/>
                <w:szCs w:val="21"/>
              </w:rPr>
            </w:pPr>
            <w:r>
              <w:rPr>
                <w:kern w:val="0"/>
                <w:szCs w:val="21"/>
              </w:rPr>
              <w:t>大浪</w:t>
            </w:r>
          </w:p>
        </w:tc>
        <w:tc>
          <w:tcPr>
            <w:tcW w:w="2253" w:type="dxa"/>
            <w:shd w:val="clear" w:color="auto" w:fill="F0F5FA"/>
            <w:noWrap w:val="0"/>
            <w:vAlign w:val="center"/>
          </w:tcPr>
          <w:p>
            <w:pPr>
              <w:snapToGrid w:val="0"/>
              <w:jc w:val="center"/>
              <w:rPr>
                <w:bCs/>
                <w:szCs w:val="21"/>
              </w:rPr>
            </w:pPr>
            <w:r>
              <w:rPr>
                <w:kern w:val="0"/>
                <w:szCs w:val="21"/>
              </w:rPr>
              <w:t>2.5</w:t>
            </w:r>
            <w:r>
              <w:rPr>
                <w:rFonts w:ascii="宋体" w:hAnsi="宋体"/>
                <w:kern w:val="0"/>
                <w:szCs w:val="21"/>
              </w:rPr>
              <w:t>≤</w:t>
            </w:r>
            <w:r>
              <w:rPr>
                <w:i/>
                <w:kern w:val="0"/>
                <w:szCs w:val="21"/>
              </w:rPr>
              <w:t>H</w:t>
            </w:r>
            <w:r>
              <w:rPr>
                <w:kern w:val="0"/>
                <w:szCs w:val="21"/>
              </w:rPr>
              <w:t>s＜4.0</w:t>
            </w:r>
          </w:p>
        </w:tc>
        <w:tc>
          <w:tcPr>
            <w:tcW w:w="2254" w:type="dxa"/>
            <w:shd w:val="clear" w:color="auto" w:fill="F0F5FA"/>
            <w:noWrap w:val="0"/>
            <w:vAlign w:val="center"/>
          </w:tcPr>
          <w:p>
            <w:pPr>
              <w:snapToGrid w:val="0"/>
              <w:jc w:val="center"/>
              <w:rPr>
                <w:bCs/>
                <w:szCs w:val="21"/>
              </w:rPr>
            </w:pPr>
          </w:p>
        </w:tc>
        <w:tc>
          <w:tcPr>
            <w:tcW w:w="2254" w:type="dxa"/>
            <w:shd w:val="clear" w:color="auto" w:fill="F0F5FA"/>
            <w:noWrap w:val="0"/>
            <w:vAlign w:val="center"/>
          </w:tcPr>
          <w:p>
            <w:pPr>
              <w:snapToGrid w:val="0"/>
              <w:jc w:val="center"/>
              <w:rPr>
                <w:bCs/>
                <w:szCs w:val="21"/>
              </w:rPr>
            </w:pPr>
          </w:p>
        </w:tc>
      </w:tr>
      <w:tr>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57" w:type="dxa"/>
            <w:left w:w="28" w:type="dxa"/>
            <w:bottom w:w="57" w:type="dxa"/>
            <w:right w:w="28" w:type="dxa"/>
          </w:tblCellMar>
        </w:tblPrEx>
        <w:trPr>
          <w:jc w:val="center"/>
        </w:trPr>
        <w:tc>
          <w:tcPr>
            <w:tcW w:w="9014" w:type="dxa"/>
            <w:gridSpan w:val="4"/>
            <w:noWrap w:val="0"/>
            <w:vAlign w:val="center"/>
          </w:tcPr>
          <w:p>
            <w:pPr>
              <w:snapToGrid w:val="0"/>
              <w:ind w:firstLine="210" w:firstLineChars="100"/>
              <w:jc w:val="left"/>
              <w:rPr>
                <w:bCs/>
                <w:szCs w:val="21"/>
              </w:rPr>
            </w:pPr>
            <w:r>
              <w:rPr>
                <w:kern w:val="0"/>
                <w:szCs w:val="21"/>
              </w:rPr>
              <w:t>*</w:t>
            </w:r>
            <w:r>
              <w:rPr>
                <w:i/>
                <w:kern w:val="0"/>
                <w:szCs w:val="21"/>
              </w:rPr>
              <w:t>H</w:t>
            </w:r>
            <w:r>
              <w:rPr>
                <w:kern w:val="0"/>
                <w:szCs w:val="21"/>
              </w:rPr>
              <w:t>s</w:t>
            </w:r>
            <w:r>
              <w:rPr>
                <w:rFonts w:hint="eastAsia" w:ascii="楷体_GB2312" w:eastAsia="楷体_GB2312"/>
                <w:kern w:val="0"/>
                <w:szCs w:val="21"/>
              </w:rPr>
              <w:t>为有效波高</w:t>
            </w:r>
            <w:r>
              <w:rPr>
                <w:rFonts w:hint="eastAsia"/>
                <w:kern w:val="0"/>
                <w:szCs w:val="21"/>
              </w:rPr>
              <w:t>。</w:t>
            </w:r>
          </w:p>
        </w:tc>
      </w:tr>
    </w:tbl>
    <w:p>
      <w:pPr>
        <w:spacing w:before="156" w:beforeLines="50"/>
        <w:ind w:firstLine="600" w:firstLineChars="200"/>
        <w:rPr>
          <w:rFonts w:hint="eastAsia"/>
          <w:b/>
          <w:sz w:val="30"/>
          <w:szCs w:val="30"/>
        </w:rPr>
      </w:pPr>
    </w:p>
    <w:p>
      <w:pPr>
        <w:pStyle w:val="15"/>
        <w:rPr>
          <w:rFonts w:hAnsi="宋体"/>
        </w:rPr>
      </w:pPr>
    </w:p>
    <w:p>
      <w:pPr>
        <w:spacing w:before="156" w:beforeLines="50"/>
        <w:ind w:firstLine="600" w:firstLineChars="200"/>
        <w:rPr>
          <w:rFonts w:hint="eastAsia"/>
          <w:b/>
          <w:sz w:val="30"/>
          <w:szCs w:val="30"/>
        </w:rPr>
      </w:pPr>
      <w:r>
        <w:rPr>
          <w:rFonts w:hint="eastAsia"/>
          <w:b/>
          <w:sz w:val="30"/>
          <w:szCs w:val="30"/>
        </w:rPr>
        <w:t>灾害性海浪</w:t>
      </w:r>
    </w:p>
    <w:p>
      <w:pPr>
        <w:ind w:firstLine="600" w:firstLineChars="200"/>
        <w:rPr>
          <w:rFonts w:hint="eastAsia"/>
          <w:sz w:val="30"/>
          <w:szCs w:val="30"/>
        </w:rPr>
      </w:pPr>
      <w:r>
        <w:rPr>
          <w:rFonts w:hint="eastAsia"/>
          <w:sz w:val="30"/>
          <w:szCs w:val="30"/>
        </w:rPr>
        <w:t>灾害性海浪是指海上有效波高达4米或4米以上的海浪。统计中包括近岸站点实况有效波高≥2.5米的过程。</w:t>
      </w:r>
    </w:p>
    <w:p>
      <w:pPr>
        <w:spacing w:before="156" w:beforeLines="50"/>
        <w:ind w:firstLine="600" w:firstLineChars="200"/>
        <w:rPr>
          <w:b/>
          <w:sz w:val="30"/>
          <w:szCs w:val="30"/>
        </w:rPr>
      </w:pPr>
      <w:r>
        <w:rPr>
          <w:rFonts w:hint="eastAsia"/>
          <w:b/>
          <w:sz w:val="30"/>
          <w:szCs w:val="30"/>
        </w:rPr>
        <w:t>赤潮</w:t>
      </w:r>
    </w:p>
    <w:p>
      <w:pPr>
        <w:ind w:firstLine="600" w:firstLineChars="200"/>
        <w:rPr>
          <w:rFonts w:hint="eastAsia"/>
          <w:sz w:val="30"/>
          <w:szCs w:val="30"/>
        </w:rPr>
      </w:pPr>
      <w:r>
        <w:rPr>
          <w:rFonts w:hint="eastAsia"/>
          <w:sz w:val="30"/>
          <w:szCs w:val="30"/>
        </w:rPr>
        <w:t>赤潮是海洋中一些微藻、原生动物或细菌在一定环境条件下暴发性增殖或聚集达到某一水平，引起水体变色或对海洋中其他生物产生危害的一种生态异常现象。</w:t>
      </w:r>
    </w:p>
    <w:p>
      <w:pPr>
        <w:spacing w:before="156" w:beforeLines="50"/>
        <w:ind w:firstLine="600" w:firstLineChars="200"/>
        <w:rPr>
          <w:rFonts w:hint="eastAsia" w:ascii="Times New Roman" w:hAnsi="Times New Roman" w:eastAsia="宋体" w:cs="Times New Roman"/>
          <w:b/>
          <w:sz w:val="30"/>
          <w:szCs w:val="30"/>
          <w:lang w:val="en-US" w:eastAsia="zh-CN"/>
        </w:rPr>
      </w:pPr>
      <w:r>
        <w:rPr>
          <w:rFonts w:hint="eastAsia" w:ascii="Times New Roman" w:hAnsi="Times New Roman" w:eastAsia="宋体" w:cs="Times New Roman"/>
          <w:b/>
          <w:sz w:val="30"/>
          <w:szCs w:val="30"/>
          <w:lang w:val="en-US" w:eastAsia="zh-CN"/>
        </w:rPr>
        <w:t>有毒赤潮</w:t>
      </w:r>
    </w:p>
    <w:p>
      <w:pPr>
        <w:ind w:firstLine="600" w:firstLineChars="200"/>
        <w:rPr>
          <w:rFonts w:hint="eastAsia" w:ascii="Times New Roman" w:hAnsi="Times New Roman" w:eastAsia="宋体" w:cs="Times New Roman"/>
          <w:sz w:val="30"/>
          <w:szCs w:val="30"/>
          <w:lang w:val="en-US" w:eastAsia="zh-CN"/>
        </w:rPr>
      </w:pPr>
      <w:r>
        <w:rPr>
          <w:rFonts w:hint="eastAsia" w:ascii="Times New Roman" w:hAnsi="Times New Roman" w:eastAsia="宋体" w:cs="Times New Roman"/>
          <w:sz w:val="30"/>
          <w:szCs w:val="30"/>
          <w:lang w:val="en-US" w:eastAsia="zh-CN"/>
        </w:rPr>
        <w:t xml:space="preserve">特指能引起人类中毒、甚至死亡的赤潮。 </w:t>
      </w:r>
    </w:p>
    <w:p>
      <w:pPr>
        <w:spacing w:before="156" w:beforeLines="50"/>
        <w:ind w:firstLine="600" w:firstLineChars="200"/>
        <w:rPr>
          <w:rFonts w:hint="eastAsia" w:ascii="Times New Roman" w:hAnsi="Times New Roman" w:eastAsia="宋体" w:cs="Times New Roman"/>
          <w:b/>
          <w:sz w:val="30"/>
          <w:szCs w:val="30"/>
          <w:lang w:val="en-US" w:eastAsia="zh-CN"/>
        </w:rPr>
      </w:pPr>
      <w:r>
        <w:rPr>
          <w:rFonts w:hint="eastAsia" w:ascii="Times New Roman" w:hAnsi="Times New Roman" w:eastAsia="宋体" w:cs="Times New Roman"/>
          <w:b/>
          <w:sz w:val="30"/>
          <w:szCs w:val="30"/>
          <w:lang w:val="en-US" w:eastAsia="zh-CN"/>
        </w:rPr>
        <w:t>有害赤潮</w:t>
      </w:r>
    </w:p>
    <w:p>
      <w:pPr>
        <w:ind w:firstLine="600" w:firstLineChars="200"/>
        <w:rPr>
          <w:rFonts w:hint="eastAsia"/>
          <w:sz w:val="30"/>
          <w:szCs w:val="30"/>
        </w:rPr>
      </w:pPr>
      <w:r>
        <w:rPr>
          <w:rFonts w:hint="eastAsia" w:ascii="Times New Roman" w:hAnsi="Times New Roman" w:eastAsia="宋体" w:cs="Times New Roman"/>
          <w:sz w:val="30"/>
          <w:szCs w:val="30"/>
          <w:lang w:val="en-US" w:eastAsia="zh-CN"/>
        </w:rPr>
        <w:t>对人类没有直接危害，但可通过物理、化学等途径对海洋自然资源或海洋经济造成危害的赤潮。</w:t>
      </w:r>
    </w:p>
    <w:p>
      <w:pPr>
        <w:spacing w:before="156" w:beforeLines="50"/>
        <w:ind w:firstLine="600" w:firstLineChars="200"/>
        <w:rPr>
          <w:rFonts w:hint="eastAsia"/>
          <w:b/>
          <w:sz w:val="30"/>
          <w:szCs w:val="30"/>
        </w:rPr>
      </w:pPr>
      <w:r>
        <w:rPr>
          <w:rFonts w:hint="eastAsia"/>
          <w:b/>
          <w:sz w:val="30"/>
          <w:szCs w:val="30"/>
        </w:rPr>
        <w:t>禁止类红线区</w:t>
      </w:r>
    </w:p>
    <w:p>
      <w:pPr>
        <w:ind w:firstLine="600" w:firstLineChars="200"/>
        <w:rPr>
          <w:rFonts w:hint="eastAsia" w:ascii="Times New Roman" w:hAnsi="Times New Roman" w:eastAsia="宋体" w:cs="Times New Roman"/>
          <w:sz w:val="30"/>
          <w:szCs w:val="30"/>
          <w:lang w:val="en-US" w:eastAsia="zh-CN"/>
        </w:rPr>
      </w:pPr>
      <w:r>
        <w:rPr>
          <w:rFonts w:hint="eastAsia" w:ascii="Times New Roman" w:hAnsi="Times New Roman" w:eastAsia="宋体" w:cs="Times New Roman"/>
          <w:sz w:val="30"/>
          <w:szCs w:val="30"/>
          <w:lang w:val="en-US" w:eastAsia="zh-CN"/>
        </w:rPr>
        <w:t>禁止开展任何形式的开发建设活动的区域，主要包括海洋自然保护区的核心区和缓冲区、海洋特别保护区的重点保护区和预留区以及特别保护海岛中的领海基点岛。</w:t>
      </w:r>
    </w:p>
    <w:p>
      <w:pPr>
        <w:spacing w:before="156" w:beforeLines="50"/>
        <w:ind w:firstLine="600" w:firstLineChars="200"/>
        <w:rPr>
          <w:rFonts w:hint="eastAsia"/>
          <w:b/>
          <w:sz w:val="30"/>
          <w:szCs w:val="30"/>
        </w:rPr>
      </w:pPr>
      <w:r>
        <w:rPr>
          <w:rFonts w:hint="eastAsia"/>
          <w:b/>
          <w:sz w:val="30"/>
          <w:szCs w:val="30"/>
        </w:rPr>
        <w:t>限制类红线区</w:t>
      </w:r>
    </w:p>
    <w:p>
      <w:pPr>
        <w:ind w:firstLine="600" w:firstLineChars="200"/>
        <w:rPr>
          <w:rFonts w:hint="eastAsia" w:ascii="Times New Roman" w:hAnsi="Times New Roman" w:eastAsia="宋体" w:cs="Times New Roman"/>
          <w:sz w:val="30"/>
          <w:szCs w:val="30"/>
          <w:lang w:val="en-US" w:eastAsia="zh-CN"/>
        </w:rPr>
      </w:pPr>
      <w:r>
        <w:rPr>
          <w:rFonts w:hint="eastAsia" w:ascii="Times New Roman" w:hAnsi="Times New Roman" w:eastAsia="宋体" w:cs="Times New Roman"/>
          <w:sz w:val="30"/>
          <w:szCs w:val="30"/>
          <w:lang w:val="en-US" w:eastAsia="zh-CN"/>
        </w:rPr>
        <w:t>主要包括海洋自然保护区的实验区、海洋特别保护区的生态与资源恢复区和适度利用区、重要河口生态系统、重要滩涂湿地、</w:t>
      </w:r>
      <w:r>
        <w:rPr>
          <w:rFonts w:hint="eastAsia"/>
          <w:sz w:val="30"/>
          <w:szCs w:val="30"/>
          <w:lang w:eastAsia="zh-CN"/>
        </w:rPr>
        <w:t>重要渔业水域、</w:t>
      </w:r>
      <w:r>
        <w:rPr>
          <w:rFonts w:hint="eastAsia" w:ascii="Times New Roman" w:hAnsi="Times New Roman" w:eastAsia="宋体" w:cs="Times New Roman"/>
          <w:sz w:val="30"/>
          <w:szCs w:val="30"/>
          <w:lang w:val="en-US" w:eastAsia="zh-CN"/>
        </w:rPr>
        <w:t>重要滨海旅游区、特别保护海岛等重要海洋生态功能区、生态敏感区和生态脆弱区。</w:t>
      </w:r>
    </w:p>
    <w:p>
      <w:pPr>
        <w:spacing w:before="156" w:beforeLines="50"/>
        <w:ind w:firstLine="600" w:firstLineChars="200"/>
        <w:rPr>
          <w:b/>
          <w:sz w:val="30"/>
          <w:szCs w:val="30"/>
        </w:rPr>
      </w:pPr>
      <w:r>
        <w:rPr>
          <w:b/>
          <w:sz w:val="30"/>
          <w:szCs w:val="30"/>
        </w:rPr>
        <w:t>海平面</w:t>
      </w:r>
    </w:p>
    <w:p>
      <w:pPr>
        <w:ind w:firstLine="600" w:firstLineChars="200"/>
        <w:rPr>
          <w:sz w:val="30"/>
          <w:szCs w:val="30"/>
        </w:rPr>
      </w:pPr>
      <w:r>
        <w:rPr>
          <w:sz w:val="30"/>
          <w:szCs w:val="30"/>
        </w:rPr>
        <w:t>海平面是消除各种扰动后海面的平均高度，一般是通过计算一段时间内观测潮位的平均值得到。根据时间范围的不同，有日平均海平面、月平均海平面、年平均海平面和多年平均海平面等。</w:t>
      </w:r>
    </w:p>
    <w:p>
      <w:pPr>
        <w:spacing w:before="156" w:beforeLines="50"/>
        <w:ind w:firstLine="600" w:firstLineChars="200"/>
        <w:rPr>
          <w:b/>
          <w:sz w:val="30"/>
          <w:szCs w:val="30"/>
        </w:rPr>
      </w:pPr>
      <w:r>
        <w:rPr>
          <w:b/>
          <w:sz w:val="30"/>
          <w:szCs w:val="30"/>
        </w:rPr>
        <w:t>海平面变化</w:t>
      </w:r>
    </w:p>
    <w:p>
      <w:pPr>
        <w:ind w:firstLine="600" w:firstLineChars="200"/>
        <w:rPr>
          <w:sz w:val="30"/>
          <w:szCs w:val="30"/>
        </w:rPr>
      </w:pPr>
      <w:r>
        <w:rPr>
          <w:sz w:val="30"/>
          <w:szCs w:val="30"/>
        </w:rPr>
        <w:t>全球海平面变化主要是由海水密度变化和质量变化引起的海水体积改变造成的。全球海平面变化具有明显的区域差异，区域海平面变化除</w:t>
      </w:r>
      <w:r>
        <w:rPr>
          <w:rFonts w:hint="eastAsia"/>
          <w:sz w:val="30"/>
          <w:szCs w:val="30"/>
        </w:rPr>
        <w:t>了</w:t>
      </w:r>
      <w:r>
        <w:rPr>
          <w:sz w:val="30"/>
          <w:szCs w:val="30"/>
        </w:rPr>
        <w:t>受全球海平面变化影响外，还受到区域海水质量再分布、淡水通量和陆地垂直运动等因素的影响。</w:t>
      </w:r>
    </w:p>
    <w:p>
      <w:pPr>
        <w:spacing w:before="156" w:beforeLines="50"/>
        <w:ind w:firstLine="600" w:firstLineChars="200"/>
        <w:rPr>
          <w:b/>
          <w:sz w:val="30"/>
          <w:szCs w:val="30"/>
        </w:rPr>
      </w:pPr>
      <w:r>
        <w:rPr>
          <w:b/>
          <w:sz w:val="30"/>
          <w:szCs w:val="30"/>
        </w:rPr>
        <w:t>常年平均海平面</w:t>
      </w:r>
    </w:p>
    <w:p>
      <w:pPr>
        <w:ind w:firstLine="600" w:firstLineChars="200"/>
        <w:rPr>
          <w:sz w:val="30"/>
          <w:szCs w:val="30"/>
        </w:rPr>
      </w:pPr>
      <w:r>
        <w:rPr>
          <w:sz w:val="30"/>
          <w:szCs w:val="30"/>
        </w:rPr>
        <w:t>依据全球海平面监测系统（GLOSS）的约定，将1993-2011年的平均海平面定为常年平均海平面（简称常年）；该期间的月平均海平面定为常年月均海平面。浙江沿海海平面变化数据来源为大陈等13个沿海潮位站多年观测值。</w:t>
      </w:r>
    </w:p>
    <w:p>
      <w:pPr>
        <w:spacing w:before="156" w:beforeLines="50"/>
        <w:ind w:firstLine="600" w:firstLineChars="200"/>
        <w:rPr>
          <w:b/>
          <w:sz w:val="30"/>
          <w:szCs w:val="30"/>
        </w:rPr>
      </w:pPr>
      <w:r>
        <w:rPr>
          <w:b/>
          <w:sz w:val="30"/>
          <w:szCs w:val="30"/>
        </w:rPr>
        <w:t>咸潮入侵</w:t>
      </w:r>
    </w:p>
    <w:p>
      <w:pPr>
        <w:ind w:firstLine="600" w:firstLineChars="200"/>
        <w:rPr>
          <w:rFonts w:hint="eastAsia"/>
          <w:sz w:val="30"/>
          <w:szCs w:val="30"/>
        </w:rPr>
      </w:pPr>
      <w:r>
        <w:rPr>
          <w:sz w:val="30"/>
          <w:szCs w:val="30"/>
        </w:rPr>
        <w:t>咸潮入侵是感潮河段（感潮河段指的是潮水可达到的，流量及水位受潮汐影响的河流区段）在涨潮时发生的海水上溯现象。</w:t>
      </w:r>
    </w:p>
    <w:p>
      <w:pPr>
        <w:spacing w:before="156" w:beforeLines="50"/>
        <w:ind w:firstLine="600" w:firstLineChars="200"/>
        <w:rPr>
          <w:b/>
          <w:sz w:val="30"/>
          <w:szCs w:val="30"/>
        </w:rPr>
      </w:pPr>
      <w:r>
        <w:rPr>
          <w:b/>
          <w:sz w:val="30"/>
          <w:szCs w:val="30"/>
        </w:rPr>
        <w:t>海岸侵蚀</w:t>
      </w:r>
    </w:p>
    <w:p>
      <w:pPr>
        <w:ind w:firstLine="600" w:firstLineChars="200"/>
        <w:rPr>
          <w:sz w:val="30"/>
          <w:szCs w:val="30"/>
        </w:rPr>
      </w:pPr>
      <w:r>
        <w:rPr>
          <w:sz w:val="30"/>
          <w:szCs w:val="30"/>
        </w:rPr>
        <w:t>海岸侵蚀是海岸在海洋动力等因素作用下发生后退</w:t>
      </w:r>
      <w:r>
        <w:rPr>
          <w:rFonts w:hint="eastAsia"/>
          <w:sz w:val="30"/>
          <w:szCs w:val="30"/>
        </w:rPr>
        <w:t>和下蚀</w:t>
      </w:r>
      <w:r>
        <w:rPr>
          <w:sz w:val="30"/>
          <w:szCs w:val="30"/>
        </w:rPr>
        <w:t>的现象。</w:t>
      </w:r>
    </w:p>
    <w:p>
      <w:pPr>
        <w:ind w:firstLine="600" w:firstLineChars="200"/>
        <w:rPr>
          <w:rFonts w:hint="eastAsia"/>
          <w:sz w:val="30"/>
          <w:szCs w:val="30"/>
        </w:rPr>
      </w:pPr>
    </w:p>
    <w:p>
      <w:pPr>
        <w:spacing w:before="156" w:beforeLines="50"/>
        <w:ind w:firstLine="600" w:firstLineChars="200"/>
        <w:rPr>
          <w:b/>
          <w:sz w:val="30"/>
          <w:szCs w:val="30"/>
        </w:rPr>
      </w:pPr>
      <w:r>
        <w:rPr>
          <w:rFonts w:hint="eastAsia"/>
          <w:b/>
          <w:sz w:val="30"/>
          <w:szCs w:val="30"/>
        </w:rPr>
        <w:t>海啸</w:t>
      </w:r>
    </w:p>
    <w:p>
      <w:pPr>
        <w:ind w:firstLine="600" w:firstLineChars="200"/>
        <w:rPr>
          <w:sz w:val="30"/>
          <w:szCs w:val="30"/>
        </w:rPr>
      </w:pPr>
      <w:r>
        <w:rPr>
          <w:rFonts w:hint="eastAsia"/>
          <w:sz w:val="30"/>
          <w:szCs w:val="30"/>
        </w:rPr>
        <w:t>海啸是由海底地震、火山爆发或巨大岩体塌陷和滑坡等导致的海水长周期波动，能造成近岸海面大幅度涨落。根据引发</w:t>
      </w:r>
      <w:r>
        <w:rPr>
          <w:sz w:val="30"/>
          <w:szCs w:val="30"/>
        </w:rPr>
        <w:t>海啸的原因可分为地震海啸、</w:t>
      </w:r>
      <w:r>
        <w:rPr>
          <w:rFonts w:hint="eastAsia"/>
          <w:sz w:val="30"/>
          <w:szCs w:val="30"/>
        </w:rPr>
        <w:t>滑</w:t>
      </w:r>
      <w:r>
        <w:rPr>
          <w:sz w:val="30"/>
          <w:szCs w:val="30"/>
        </w:rPr>
        <w:t>坡海啸</w:t>
      </w:r>
      <w:r>
        <w:rPr>
          <w:rFonts w:hint="eastAsia"/>
          <w:sz w:val="30"/>
          <w:szCs w:val="30"/>
        </w:rPr>
        <w:t>和</w:t>
      </w:r>
      <w:r>
        <w:rPr>
          <w:sz w:val="30"/>
          <w:szCs w:val="30"/>
        </w:rPr>
        <w:t>火山海啸</w:t>
      </w:r>
      <w:r>
        <w:rPr>
          <w:rFonts w:hint="eastAsia"/>
          <w:sz w:val="30"/>
          <w:szCs w:val="30"/>
        </w:rPr>
        <w:t>；</w:t>
      </w:r>
      <w:r>
        <w:rPr>
          <w:sz w:val="30"/>
          <w:szCs w:val="30"/>
        </w:rPr>
        <w:t>根据</w:t>
      </w:r>
      <w:r>
        <w:rPr>
          <w:rFonts w:hint="eastAsia"/>
          <w:sz w:val="30"/>
          <w:szCs w:val="30"/>
        </w:rPr>
        <w:t>海啸</w:t>
      </w:r>
      <w:r>
        <w:rPr>
          <w:sz w:val="30"/>
          <w:szCs w:val="30"/>
        </w:rPr>
        <w:t>源</w:t>
      </w:r>
      <w:r>
        <w:rPr>
          <w:rFonts w:hint="eastAsia"/>
          <w:sz w:val="30"/>
          <w:szCs w:val="30"/>
        </w:rPr>
        <w:t>与</w:t>
      </w:r>
      <w:r>
        <w:rPr>
          <w:sz w:val="30"/>
          <w:szCs w:val="30"/>
        </w:rPr>
        <w:t>受影响</w:t>
      </w:r>
      <w:r>
        <w:rPr>
          <w:rFonts w:hint="eastAsia"/>
          <w:sz w:val="30"/>
          <w:szCs w:val="30"/>
        </w:rPr>
        <w:t>沿海</w:t>
      </w:r>
      <w:r>
        <w:rPr>
          <w:sz w:val="30"/>
          <w:szCs w:val="30"/>
        </w:rPr>
        <w:t>地区的距离</w:t>
      </w:r>
      <w:r>
        <w:rPr>
          <w:rFonts w:hint="eastAsia"/>
          <w:sz w:val="30"/>
          <w:szCs w:val="30"/>
        </w:rPr>
        <w:t>可</w:t>
      </w:r>
      <w:r>
        <w:rPr>
          <w:sz w:val="30"/>
          <w:szCs w:val="30"/>
        </w:rPr>
        <w:t>分为</w:t>
      </w:r>
      <w:r>
        <w:rPr>
          <w:rFonts w:hint="eastAsia"/>
          <w:sz w:val="30"/>
          <w:szCs w:val="30"/>
        </w:rPr>
        <w:t>局</w:t>
      </w:r>
      <w:r>
        <w:rPr>
          <w:sz w:val="30"/>
          <w:szCs w:val="30"/>
        </w:rPr>
        <w:t>地海啸、区域海啸和越洋海啸</w:t>
      </w:r>
      <w:r>
        <w:rPr>
          <w:rFonts w:hint="eastAsia"/>
          <w:sz w:val="30"/>
          <w:szCs w:val="30"/>
        </w:rPr>
        <w:t>。</w:t>
      </w:r>
    </w:p>
    <w:p>
      <w:pPr>
        <w:ind w:firstLine="600" w:firstLineChars="200"/>
        <w:rPr>
          <w:sz w:val="30"/>
          <w:szCs w:val="30"/>
        </w:rPr>
      </w:pPr>
    </w:p>
    <w:sectPr>
      <w:footerReference r:id="rId14" w:type="default"/>
      <w:footnotePr>
        <w:numRestart w:val="eachSect"/>
      </w:footnotePr>
      <w:pgSz w:w="11906" w:h="16838"/>
      <w:pgMar w:top="1418" w:right="1701" w:bottom="1418" w:left="170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0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20B0503020204020204"/>
    <w:charset w:val="00"/>
    <w:family w:val="swiss"/>
    <w:pitch w:val="default"/>
    <w:sig w:usb0="00000000" w:usb1="0000000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3000509000000000000"/>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2"/>
                            <w:jc w:val="right"/>
                          </w:pPr>
                          <w:r>
                            <w:fldChar w:fldCharType="begin"/>
                          </w:r>
                          <w:r>
                            <w:instrText xml:space="preserve">PAGE   \* MERGEFORMAT</w:instrText>
                          </w:r>
                          <w:r>
                            <w:fldChar w:fldCharType="separate"/>
                          </w:r>
                          <w:r>
                            <w:rPr>
                              <w:lang w:val="zh-CN"/>
                            </w:rPr>
                            <w:t>2</w:t>
                          </w:r>
                          <w:r>
                            <w:rPr>
                              <w:lang w:val="zh-CN"/>
                            </w:rPr>
                            <w:fldChar w:fldCharType="end"/>
                          </w:r>
                        </w:p>
                      </w:txbxContent>
                    </wps:txbx>
                    <wps:bodyPr wrap="none" lIns="0" tIns="0" rIns="0" bIns="0" upright="false">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B0DL6ntgEAAFYDAAAOAAAAAAAAAAEAIAAAADQBAABkcnMvZTJv&#10;RG9jLnhtbFBLBQYAAAAABgAGAFkBAABcBQAAAAA=&#10;">
              <v:fill on="f" focussize="0,0"/>
              <v:stroke on="f"/>
              <v:imagedata o:title=""/>
              <o:lock v:ext="edit" aspectratio="f"/>
              <v:textbox inset="0mm,0mm,0mm,0mm" style="mso-fit-shape-to-text:t;">
                <w:txbxContent>
                  <w:p>
                    <w:pPr>
                      <w:pStyle w:val="12"/>
                      <w:jc w:val="right"/>
                    </w:pPr>
                    <w:r>
                      <w:fldChar w:fldCharType="begin"/>
                    </w:r>
                    <w:r>
                      <w:instrText xml:space="preserve">PAGE   \* MERGEFORMAT</w:instrText>
                    </w:r>
                    <w:r>
                      <w:fldChar w:fldCharType="separate"/>
                    </w:r>
                    <w:r>
                      <w:rPr>
                        <w:lang w:val="zh-CN"/>
                      </w:rPr>
                      <w:t>2</w:t>
                    </w:r>
                    <w:r>
                      <w:rPr>
                        <w:lang w:val="zh-CN"/>
                      </w:rPr>
                      <w:fldChar w:fldCharType="end"/>
                    </w:r>
                  </w:p>
                </w:txbxContent>
              </v:textbox>
            </v:shape>
          </w:pict>
        </mc:Fallback>
      </mc:AlternateConten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rP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10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3</w:t>
                          </w:r>
                          <w:r>
                            <w:rPr>
                              <w:rFonts w:ascii="宋体" w:hAnsi="宋体"/>
                              <w:lang w:val="zh-CN"/>
                            </w:rPr>
                            <w:fldChar w:fldCharType="end"/>
                          </w:r>
                        </w:p>
                      </w:txbxContent>
                    </wps:txbx>
                    <wps:bodyPr wrap="none" lIns="0" tIns="0" rIns="0" bIns="0" upright="false">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CTCbNZtgEAAFYDAAAOAAAAAAAAAAEAIAAAADQBAABkcnMvZTJv&#10;RG9jLnhtbFBLBQYAAAAABgAGAFkBAABcBQAAAAA=&#10;">
              <v:fill on="f" focussize="0,0"/>
              <v:stroke on="f"/>
              <v:imagedata o:title=""/>
              <o:lock v:ext="edit" aspectratio="f"/>
              <v:textbox inset="0mm,0mm,0mm,0mm" style="mso-fit-shape-to-text:t;">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3</w:t>
                    </w:r>
                    <w:r>
                      <w:rPr>
                        <w:rFonts w:ascii="宋体" w:hAnsi="宋体"/>
                        <w:lang w:val="zh-CN"/>
                      </w:rPr>
                      <w:fldChar w:fldCharType="end"/>
                    </w:r>
                  </w:p>
                </w:txbxContent>
              </v:textbox>
            </v:shape>
          </w:pict>
        </mc:Fallback>
      </mc:AlternateContent>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rP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0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lang w:val="zh-CN"/>
                            </w:rPr>
                            <w:t>2</w:t>
                          </w:r>
                          <w:r>
                            <w:rPr>
                              <w:rFonts w:ascii="宋体" w:hAnsi="宋体"/>
                              <w:lang w:val="zh-CN"/>
                            </w:rPr>
                            <w:fldChar w:fldCharType="end"/>
                          </w:r>
                        </w:p>
                      </w:txbxContent>
                    </wps:txbx>
                    <wps:bodyPr wrap="none" lIns="0" tIns="0" rIns="0" bIns="0" upright="false">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CrnmWFtgEAAFYDAAAOAAAAAAAAAAEAIAAAADQBAABkcnMvZTJv&#10;RG9jLnhtbFBLBQYAAAAABgAGAFkBAABcBQAAAAA=&#10;">
              <v:fill on="f" focussize="0,0"/>
              <v:stroke on="f"/>
              <v:imagedata o:title=""/>
              <o:lock v:ext="edit" aspectratio="f"/>
              <v:textbox inset="0mm,0mm,0mm,0mm" style="mso-fit-shape-to-text:t;">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lang w:val="zh-CN"/>
                      </w:rPr>
                      <w:t>2</w:t>
                    </w:r>
                    <w:r>
                      <w:rPr>
                        <w:rFonts w:ascii="宋体" w:hAnsi="宋体"/>
                        <w:lang w:val="zh-CN"/>
                      </w:rPr>
                      <w:fldChar w:fldCharType="end"/>
                    </w:r>
                  </w:p>
                </w:txbxContent>
              </v:textbox>
            </v:shape>
          </w:pict>
        </mc:Fallback>
      </mc:AlternateContent>
    </w: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10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11</w:t>
                          </w:r>
                          <w:r>
                            <w:rPr>
                              <w:rFonts w:ascii="宋体" w:hAnsi="宋体"/>
                              <w:lang w:val="zh-CN"/>
                            </w:rPr>
                            <w:fldChar w:fldCharType="end"/>
                          </w:r>
                        </w:p>
                      </w:txbxContent>
                    </wps:txbx>
                    <wps:bodyPr wrap="none" lIns="0" tIns="0" rIns="0" bIns="0" upright="false">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D0MxHvtgEAAFYDAAAOAAAAAAAAAAEAIAAAADQBAABkcnMvZTJv&#10;RG9jLnhtbFBLBQYAAAAABgAGAFkBAABcBQAAAAA=&#10;">
              <v:fill on="f" focussize="0,0"/>
              <v:stroke on="f"/>
              <v:imagedata o:title=""/>
              <o:lock v:ext="edit" aspectratio="f"/>
              <v:textbox inset="0mm,0mm,0mm,0mm" style="mso-fit-shape-to-text:t;">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11</w:t>
                    </w:r>
                    <w:r>
                      <w:rPr>
                        <w:rFonts w:ascii="宋体" w:hAnsi="宋体"/>
                        <w:lang w:val="zh-CN"/>
                      </w:rPr>
                      <w:fldChar w:fldCharType="end"/>
                    </w:r>
                  </w:p>
                </w:txbxContent>
              </v:textbox>
            </v:shape>
          </w:pict>
        </mc:Fallback>
      </mc:AlternateContent>
    </w:r>
  </w:p>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10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lang w:val="zh-CN"/>
                            </w:rPr>
                            <w:t>22</w:t>
                          </w:r>
                          <w:r>
                            <w:rPr>
                              <w:rFonts w:ascii="宋体" w:hAnsi="宋体"/>
                              <w:lang w:val="zh-CN"/>
                            </w:rPr>
                            <w:fldChar w:fldCharType="end"/>
                          </w:r>
                        </w:p>
                      </w:txbxContent>
                    </wps:txbx>
                    <wps:bodyPr wrap="none" lIns="0" tIns="0" rIns="0" bIns="0" upright="false">
                      <a:spAutoFit/>
                    </wps:bodyPr>
                  </wps:wsp>
                </a:graphicData>
              </a:graphic>
            </wp:anchor>
          </w:drawing>
        </mc:Choice>
        <mc:Fallback>
          <w:pict>
            <v:shape id="文本框 1027"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DMpMcztgEAAFYDAAAOAAAAAAAAAAEAIAAAADQBAABkcnMvZTJv&#10;RG9jLnhtbFBLBQYAAAAABgAGAFkBAABcBQAAAAA=&#10;">
              <v:fill on="f" focussize="0,0"/>
              <v:stroke on="f"/>
              <v:imagedata o:title=""/>
              <o:lock v:ext="edit" aspectratio="f"/>
              <v:textbox inset="0mm,0mm,0mm,0mm" style="mso-fit-shape-to-text:t;">
                <w:txbxContent>
                  <w:p>
                    <w:pPr>
                      <w:pStyle w:val="12"/>
                      <w:jc w:val="right"/>
                    </w:pPr>
                    <w:r>
                      <w:rPr>
                        <w:rFonts w:ascii="宋体" w:hAnsi="宋体"/>
                      </w:rPr>
                      <w:fldChar w:fldCharType="begin"/>
                    </w:r>
                    <w:r>
                      <w:rPr>
                        <w:rFonts w:ascii="宋体" w:hAnsi="宋体"/>
                      </w:rPr>
                      <w:instrText xml:space="preserve"> PAGE   \* MERGEFORMAT </w:instrText>
                    </w:r>
                    <w:r>
                      <w:rPr>
                        <w:rFonts w:ascii="宋体" w:hAnsi="宋体"/>
                      </w:rPr>
                      <w:fldChar w:fldCharType="separate"/>
                    </w:r>
                    <w:r>
                      <w:rPr>
                        <w:lang w:val="zh-CN"/>
                      </w:rPr>
                      <w:t>22</w:t>
                    </w:r>
                    <w:r>
                      <w:rPr>
                        <w:rFonts w:ascii="宋体" w:hAnsi="宋体"/>
                        <w:lang w:val="zh-CN"/>
                      </w:rPr>
                      <w:fldChar w:fldCharType="end"/>
                    </w:r>
                  </w:p>
                </w:txbxContent>
              </v:textbox>
            </v:shape>
          </w:pict>
        </mc:Fallback>
      </mc:AlternateContent>
    </w:r>
  </w:p>
  <w:p>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10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rPr>
                              <w:lang w:val="zh-CN"/>
                            </w:rPr>
                            <w:t>19</w:t>
                          </w:r>
                          <w:r>
                            <w:rPr>
                              <w:lang w:val="zh-CN"/>
                            </w:rPr>
                            <w:fldChar w:fldCharType="end"/>
                          </w:r>
                        </w:p>
                      </w:txbxContent>
                    </wps:txbx>
                    <wps:bodyPr wrap="none" lIns="0" tIns="0" rIns="0" bIns="0" upright="false">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DOqXm5zwAAAAUBAAAPAAAAAAAAAAEAIAAAADgAAABkcnMvZG93bnJl&#10;di54bWxQSwECFAAUAAAACACHTuJAhOMAdLcBAABWAwAADgAAAAAAAAABACAAAAA0AQAAZHJzL2Uy&#10;b0RvYy54bWxQSwUGAAAAAAYABgBZAQAAXQ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rPr>
                        <w:lang w:val="zh-CN"/>
                      </w:rPr>
                      <w:t>19</w:t>
                    </w:r>
                    <w:r>
                      <w:rPr>
                        <w:lang w:val="zh-CN"/>
                      </w:rPr>
                      <w:fldChar w:fldCharType="end"/>
                    </w:r>
                  </w:p>
                </w:txbxContent>
              </v:textbox>
            </v:shape>
          </w:pict>
        </mc:Fallback>
      </mc:AlternateContent>
    </w:r>
  </w:p>
  <w:p>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102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2"/>
                            <w:jc w:val="right"/>
                          </w:pPr>
                          <w:r>
                            <w:fldChar w:fldCharType="begin"/>
                          </w:r>
                          <w:r>
                            <w:instrText xml:space="preserve"> PAGE   \* MERGEFORMAT </w:instrText>
                          </w:r>
                          <w:r>
                            <w:fldChar w:fldCharType="separate"/>
                          </w:r>
                          <w:r>
                            <w:rPr>
                              <w:lang w:val="zh-CN"/>
                            </w:rPr>
                            <w:t>25</w:t>
                          </w:r>
                          <w:r>
                            <w:rPr>
                              <w:lang w:val="zh-CN"/>
                            </w:rPr>
                            <w:fldChar w:fldCharType="end"/>
                          </w:r>
                        </w:p>
                      </w:txbxContent>
                    </wps:txbx>
                    <wps:bodyPr wrap="none" lIns="0" tIns="0" rIns="0" bIns="0" upright="false">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A19HNetgEAAFYDAAAOAAAAAAAAAAEAIAAAADQBAABkcnMvZTJv&#10;RG9jLnhtbFBLBQYAAAAABgAGAFkBAABcBQAAAAA=&#10;">
              <v:fill on="f" focussize="0,0"/>
              <v:stroke on="f"/>
              <v:imagedata o:title=""/>
              <o:lock v:ext="edit" aspectratio="f"/>
              <v:textbox inset="0mm,0mm,0mm,0mm" style="mso-fit-shape-to-text:t;">
                <w:txbxContent>
                  <w:p>
                    <w:pPr>
                      <w:pStyle w:val="12"/>
                      <w:jc w:val="right"/>
                    </w:pPr>
                    <w:r>
                      <w:fldChar w:fldCharType="begin"/>
                    </w:r>
                    <w:r>
                      <w:instrText xml:space="preserve"> PAGE   \* MERGEFORMAT </w:instrText>
                    </w:r>
                    <w:r>
                      <w:fldChar w:fldCharType="separate"/>
                    </w:r>
                    <w:r>
                      <w:rPr>
                        <w:lang w:val="zh-CN"/>
                      </w:rPr>
                      <w:t>25</w:t>
                    </w:r>
                    <w:r>
                      <w:rPr>
                        <w:lang w:val="zh-CN"/>
                      </w:rPr>
                      <w:fldChar w:fldCharType="end"/>
                    </w:r>
                  </w:p>
                </w:txbxContent>
              </v:textbox>
            </v:shape>
          </w:pict>
        </mc:Fallback>
      </mc:AlternateContent>
    </w:r>
  </w:p>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5"/>
        <w:rPr>
          <w:rFonts w:ascii="Times New Roman" w:hAnsi="Times New Roman"/>
          <w:sz w:val="21"/>
          <w:szCs w:val="21"/>
        </w:rPr>
      </w:pPr>
      <w:r>
        <w:rPr>
          <w:rStyle w:val="28"/>
          <w:rFonts w:ascii="Times New Roman" w:hAnsi="Times New Roman"/>
          <w:sz w:val="21"/>
          <w:szCs w:val="21"/>
        </w:rPr>
        <w:sym w:font="Symbol" w:char="F02A"/>
      </w:r>
      <w:r>
        <w:rPr>
          <w:rFonts w:ascii="Times New Roman" w:hAnsi="Times New Roman" w:eastAsia="楷体_GB2312"/>
          <w:sz w:val="21"/>
          <w:szCs w:val="21"/>
        </w:rPr>
        <w:t>统计范围为</w:t>
      </w:r>
      <w:r>
        <w:rPr>
          <w:rFonts w:hint="eastAsia" w:ascii="Times New Roman" w:hAnsi="Times New Roman" w:eastAsia="楷体_GB2312"/>
          <w:sz w:val="21"/>
          <w:szCs w:val="21"/>
          <w:lang w:eastAsia="zh-CN"/>
        </w:rPr>
        <w:t>一个及以上潮位站增水达到</w:t>
      </w:r>
      <w:r>
        <w:rPr>
          <w:rFonts w:hint="eastAsia" w:ascii="Times New Roman" w:hAnsi="Times New Roman" w:eastAsia="楷体_GB2312"/>
          <w:sz w:val="21"/>
          <w:szCs w:val="21"/>
          <w:lang w:val="en-US" w:eastAsia="zh-CN"/>
        </w:rPr>
        <w:t>50厘米并且</w:t>
      </w:r>
      <w:r>
        <w:rPr>
          <w:rFonts w:ascii="Times New Roman" w:hAnsi="Times New Roman" w:eastAsia="楷体_GB2312"/>
          <w:sz w:val="21"/>
          <w:szCs w:val="21"/>
        </w:rPr>
        <w:t>达到蓝色及以上预警级别的风暴潮过程。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2E024"/>
    <w:multiLevelType w:val="singleLevel"/>
    <w:tmpl w:val="FFF2E02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true"/>
  <w:drawingGridHorizontalSpacing w:val="105"/>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D13"/>
    <w:rsid w:val="0000197C"/>
    <w:rsid w:val="0000248C"/>
    <w:rsid w:val="00002AE0"/>
    <w:rsid w:val="0000537E"/>
    <w:rsid w:val="00006636"/>
    <w:rsid w:val="00011AAC"/>
    <w:rsid w:val="00014329"/>
    <w:rsid w:val="000145EB"/>
    <w:rsid w:val="00020A6B"/>
    <w:rsid w:val="00021252"/>
    <w:rsid w:val="00022114"/>
    <w:rsid w:val="00022323"/>
    <w:rsid w:val="000229A3"/>
    <w:rsid w:val="00022A3C"/>
    <w:rsid w:val="000238F5"/>
    <w:rsid w:val="00031D65"/>
    <w:rsid w:val="00031FB7"/>
    <w:rsid w:val="0003257F"/>
    <w:rsid w:val="000325CF"/>
    <w:rsid w:val="00032983"/>
    <w:rsid w:val="00032B2F"/>
    <w:rsid w:val="00032CE6"/>
    <w:rsid w:val="00032D8E"/>
    <w:rsid w:val="00033B7C"/>
    <w:rsid w:val="00034D1A"/>
    <w:rsid w:val="000352E5"/>
    <w:rsid w:val="00035B5F"/>
    <w:rsid w:val="00035C6E"/>
    <w:rsid w:val="00043B92"/>
    <w:rsid w:val="000464D2"/>
    <w:rsid w:val="00047B99"/>
    <w:rsid w:val="00050885"/>
    <w:rsid w:val="00050D2C"/>
    <w:rsid w:val="00050ED2"/>
    <w:rsid w:val="00051B7D"/>
    <w:rsid w:val="00052448"/>
    <w:rsid w:val="00053219"/>
    <w:rsid w:val="000541E8"/>
    <w:rsid w:val="000602E2"/>
    <w:rsid w:val="00061412"/>
    <w:rsid w:val="00061449"/>
    <w:rsid w:val="00061B1C"/>
    <w:rsid w:val="00062ABB"/>
    <w:rsid w:val="00064D69"/>
    <w:rsid w:val="00066A42"/>
    <w:rsid w:val="00067B70"/>
    <w:rsid w:val="00067EEA"/>
    <w:rsid w:val="00067F49"/>
    <w:rsid w:val="000727CE"/>
    <w:rsid w:val="00074166"/>
    <w:rsid w:val="00077074"/>
    <w:rsid w:val="0008191B"/>
    <w:rsid w:val="00082892"/>
    <w:rsid w:val="0008466E"/>
    <w:rsid w:val="00086CA5"/>
    <w:rsid w:val="000904C0"/>
    <w:rsid w:val="00091B4A"/>
    <w:rsid w:val="00094873"/>
    <w:rsid w:val="000949A3"/>
    <w:rsid w:val="000A0033"/>
    <w:rsid w:val="000A11AB"/>
    <w:rsid w:val="000A1282"/>
    <w:rsid w:val="000A1329"/>
    <w:rsid w:val="000B08D8"/>
    <w:rsid w:val="000B08FD"/>
    <w:rsid w:val="000B0C3D"/>
    <w:rsid w:val="000B106D"/>
    <w:rsid w:val="000B22B2"/>
    <w:rsid w:val="000B2A24"/>
    <w:rsid w:val="000B2D4D"/>
    <w:rsid w:val="000B3233"/>
    <w:rsid w:val="000B3974"/>
    <w:rsid w:val="000B4369"/>
    <w:rsid w:val="000B5188"/>
    <w:rsid w:val="000B56EB"/>
    <w:rsid w:val="000B61FC"/>
    <w:rsid w:val="000B7E4E"/>
    <w:rsid w:val="000B7EC4"/>
    <w:rsid w:val="000C0D24"/>
    <w:rsid w:val="000C6D04"/>
    <w:rsid w:val="000C7076"/>
    <w:rsid w:val="000D210C"/>
    <w:rsid w:val="000D2C89"/>
    <w:rsid w:val="000D3F28"/>
    <w:rsid w:val="000D404A"/>
    <w:rsid w:val="000D45B6"/>
    <w:rsid w:val="000D6234"/>
    <w:rsid w:val="000D6AC0"/>
    <w:rsid w:val="000D7775"/>
    <w:rsid w:val="000E04AB"/>
    <w:rsid w:val="000E0F20"/>
    <w:rsid w:val="000E18BB"/>
    <w:rsid w:val="000E22DD"/>
    <w:rsid w:val="000E3586"/>
    <w:rsid w:val="000E5344"/>
    <w:rsid w:val="000E65C3"/>
    <w:rsid w:val="000E7B62"/>
    <w:rsid w:val="000F1A8D"/>
    <w:rsid w:val="000F4D5E"/>
    <w:rsid w:val="000F649A"/>
    <w:rsid w:val="0010003E"/>
    <w:rsid w:val="00100FDA"/>
    <w:rsid w:val="001034BE"/>
    <w:rsid w:val="001035DE"/>
    <w:rsid w:val="0010479D"/>
    <w:rsid w:val="001067F6"/>
    <w:rsid w:val="00111367"/>
    <w:rsid w:val="0011170C"/>
    <w:rsid w:val="00113ECA"/>
    <w:rsid w:val="00115DEE"/>
    <w:rsid w:val="00116078"/>
    <w:rsid w:val="00117B1A"/>
    <w:rsid w:val="00124198"/>
    <w:rsid w:val="00130FFB"/>
    <w:rsid w:val="00132BB3"/>
    <w:rsid w:val="00132C94"/>
    <w:rsid w:val="00132F12"/>
    <w:rsid w:val="001356F1"/>
    <w:rsid w:val="001364FB"/>
    <w:rsid w:val="00144C19"/>
    <w:rsid w:val="00146259"/>
    <w:rsid w:val="0014643E"/>
    <w:rsid w:val="00147531"/>
    <w:rsid w:val="0015666C"/>
    <w:rsid w:val="001567A6"/>
    <w:rsid w:val="00156E77"/>
    <w:rsid w:val="00161C0F"/>
    <w:rsid w:val="00161E87"/>
    <w:rsid w:val="00167A18"/>
    <w:rsid w:val="0017024A"/>
    <w:rsid w:val="0017068D"/>
    <w:rsid w:val="00173240"/>
    <w:rsid w:val="001800D8"/>
    <w:rsid w:val="00180A83"/>
    <w:rsid w:val="00180FF8"/>
    <w:rsid w:val="001832C3"/>
    <w:rsid w:val="00183836"/>
    <w:rsid w:val="00183A2C"/>
    <w:rsid w:val="00184E86"/>
    <w:rsid w:val="00185DF0"/>
    <w:rsid w:val="00187245"/>
    <w:rsid w:val="0018735D"/>
    <w:rsid w:val="00191DAD"/>
    <w:rsid w:val="0019231E"/>
    <w:rsid w:val="00192AF7"/>
    <w:rsid w:val="001934C6"/>
    <w:rsid w:val="0019458D"/>
    <w:rsid w:val="001946F1"/>
    <w:rsid w:val="001948BD"/>
    <w:rsid w:val="001975C9"/>
    <w:rsid w:val="00197697"/>
    <w:rsid w:val="001A46C6"/>
    <w:rsid w:val="001A55AA"/>
    <w:rsid w:val="001A63F7"/>
    <w:rsid w:val="001A6862"/>
    <w:rsid w:val="001A7ACE"/>
    <w:rsid w:val="001B09CD"/>
    <w:rsid w:val="001B0F31"/>
    <w:rsid w:val="001B1408"/>
    <w:rsid w:val="001B18DB"/>
    <w:rsid w:val="001B3EF9"/>
    <w:rsid w:val="001B4FB7"/>
    <w:rsid w:val="001C3565"/>
    <w:rsid w:val="001C414A"/>
    <w:rsid w:val="001C48CB"/>
    <w:rsid w:val="001C4F37"/>
    <w:rsid w:val="001C72F4"/>
    <w:rsid w:val="001D2798"/>
    <w:rsid w:val="001D2A2B"/>
    <w:rsid w:val="001D2ACC"/>
    <w:rsid w:val="001D39EB"/>
    <w:rsid w:val="001D45D3"/>
    <w:rsid w:val="001D4DC0"/>
    <w:rsid w:val="001D68E8"/>
    <w:rsid w:val="001E1A17"/>
    <w:rsid w:val="001E30A0"/>
    <w:rsid w:val="001E325D"/>
    <w:rsid w:val="001E465E"/>
    <w:rsid w:val="001E553B"/>
    <w:rsid w:val="001E5F37"/>
    <w:rsid w:val="001F1E6A"/>
    <w:rsid w:val="001F22AD"/>
    <w:rsid w:val="001F3EBE"/>
    <w:rsid w:val="001F3F09"/>
    <w:rsid w:val="001F43C3"/>
    <w:rsid w:val="001F4B5D"/>
    <w:rsid w:val="001F5101"/>
    <w:rsid w:val="001F62CA"/>
    <w:rsid w:val="001F6B75"/>
    <w:rsid w:val="001F759D"/>
    <w:rsid w:val="00202D6B"/>
    <w:rsid w:val="00203702"/>
    <w:rsid w:val="0020370D"/>
    <w:rsid w:val="00203A3D"/>
    <w:rsid w:val="00203F4F"/>
    <w:rsid w:val="002078A2"/>
    <w:rsid w:val="002104D2"/>
    <w:rsid w:val="00211359"/>
    <w:rsid w:val="0021458A"/>
    <w:rsid w:val="002152C9"/>
    <w:rsid w:val="00215868"/>
    <w:rsid w:val="00220185"/>
    <w:rsid w:val="00220508"/>
    <w:rsid w:val="00221491"/>
    <w:rsid w:val="002220BD"/>
    <w:rsid w:val="00222304"/>
    <w:rsid w:val="00222796"/>
    <w:rsid w:val="00222C02"/>
    <w:rsid w:val="00222D36"/>
    <w:rsid w:val="00224FB9"/>
    <w:rsid w:val="00226E48"/>
    <w:rsid w:val="00226FF1"/>
    <w:rsid w:val="00232262"/>
    <w:rsid w:val="00235671"/>
    <w:rsid w:val="0024009E"/>
    <w:rsid w:val="002432D5"/>
    <w:rsid w:val="00245B48"/>
    <w:rsid w:val="00246AAD"/>
    <w:rsid w:val="002479D0"/>
    <w:rsid w:val="00247A22"/>
    <w:rsid w:val="002528B1"/>
    <w:rsid w:val="0025343F"/>
    <w:rsid w:val="0025394B"/>
    <w:rsid w:val="0025569E"/>
    <w:rsid w:val="00256982"/>
    <w:rsid w:val="0025724E"/>
    <w:rsid w:val="00257612"/>
    <w:rsid w:val="002579C7"/>
    <w:rsid w:val="00260491"/>
    <w:rsid w:val="00260596"/>
    <w:rsid w:val="002618EA"/>
    <w:rsid w:val="00261E80"/>
    <w:rsid w:val="00262444"/>
    <w:rsid w:val="00263471"/>
    <w:rsid w:val="002639BF"/>
    <w:rsid w:val="00263D72"/>
    <w:rsid w:val="0026640E"/>
    <w:rsid w:val="0026796C"/>
    <w:rsid w:val="002700BB"/>
    <w:rsid w:val="00270962"/>
    <w:rsid w:val="002734FC"/>
    <w:rsid w:val="00273B46"/>
    <w:rsid w:val="0027471E"/>
    <w:rsid w:val="0027600A"/>
    <w:rsid w:val="002779DD"/>
    <w:rsid w:val="00280D9A"/>
    <w:rsid w:val="00281EA4"/>
    <w:rsid w:val="002835CF"/>
    <w:rsid w:val="00283A08"/>
    <w:rsid w:val="0028497A"/>
    <w:rsid w:val="00286411"/>
    <w:rsid w:val="00287E6D"/>
    <w:rsid w:val="0029205B"/>
    <w:rsid w:val="002922FF"/>
    <w:rsid w:val="00292756"/>
    <w:rsid w:val="0029469F"/>
    <w:rsid w:val="002953FF"/>
    <w:rsid w:val="00296251"/>
    <w:rsid w:val="00297019"/>
    <w:rsid w:val="00297910"/>
    <w:rsid w:val="002A1F5C"/>
    <w:rsid w:val="002A57A8"/>
    <w:rsid w:val="002A75A6"/>
    <w:rsid w:val="002A77D3"/>
    <w:rsid w:val="002B3A4F"/>
    <w:rsid w:val="002B5926"/>
    <w:rsid w:val="002B60D0"/>
    <w:rsid w:val="002C09F2"/>
    <w:rsid w:val="002C2993"/>
    <w:rsid w:val="002C3782"/>
    <w:rsid w:val="002C4FE6"/>
    <w:rsid w:val="002C589C"/>
    <w:rsid w:val="002C77CC"/>
    <w:rsid w:val="002D0738"/>
    <w:rsid w:val="002D0826"/>
    <w:rsid w:val="002D2E44"/>
    <w:rsid w:val="002D5F35"/>
    <w:rsid w:val="002D7D2E"/>
    <w:rsid w:val="002E1FA4"/>
    <w:rsid w:val="002E341F"/>
    <w:rsid w:val="002E447E"/>
    <w:rsid w:val="002E4552"/>
    <w:rsid w:val="002E512D"/>
    <w:rsid w:val="002E517A"/>
    <w:rsid w:val="002E65DD"/>
    <w:rsid w:val="002E6A31"/>
    <w:rsid w:val="002E6DDF"/>
    <w:rsid w:val="002E7680"/>
    <w:rsid w:val="002F02BF"/>
    <w:rsid w:val="002F14AA"/>
    <w:rsid w:val="002F24A2"/>
    <w:rsid w:val="002F3D2C"/>
    <w:rsid w:val="002F4FA1"/>
    <w:rsid w:val="002F5733"/>
    <w:rsid w:val="002F72F2"/>
    <w:rsid w:val="0030036E"/>
    <w:rsid w:val="00303533"/>
    <w:rsid w:val="003048CA"/>
    <w:rsid w:val="00305D22"/>
    <w:rsid w:val="00306213"/>
    <w:rsid w:val="00307BE9"/>
    <w:rsid w:val="003143AD"/>
    <w:rsid w:val="00315C3A"/>
    <w:rsid w:val="00316C18"/>
    <w:rsid w:val="003212EF"/>
    <w:rsid w:val="003237A8"/>
    <w:rsid w:val="00325B19"/>
    <w:rsid w:val="00327AA9"/>
    <w:rsid w:val="00330AFE"/>
    <w:rsid w:val="003312BB"/>
    <w:rsid w:val="003316AF"/>
    <w:rsid w:val="00331977"/>
    <w:rsid w:val="00332E13"/>
    <w:rsid w:val="00334E0D"/>
    <w:rsid w:val="00337199"/>
    <w:rsid w:val="00341C34"/>
    <w:rsid w:val="0034566F"/>
    <w:rsid w:val="00346601"/>
    <w:rsid w:val="00346659"/>
    <w:rsid w:val="0035048B"/>
    <w:rsid w:val="00351294"/>
    <w:rsid w:val="00351344"/>
    <w:rsid w:val="003514F9"/>
    <w:rsid w:val="00353C60"/>
    <w:rsid w:val="00354D04"/>
    <w:rsid w:val="00355653"/>
    <w:rsid w:val="00362856"/>
    <w:rsid w:val="0037267F"/>
    <w:rsid w:val="003728E3"/>
    <w:rsid w:val="00374814"/>
    <w:rsid w:val="00376F53"/>
    <w:rsid w:val="00381FF8"/>
    <w:rsid w:val="00382877"/>
    <w:rsid w:val="00383186"/>
    <w:rsid w:val="003835F4"/>
    <w:rsid w:val="0038554A"/>
    <w:rsid w:val="00386319"/>
    <w:rsid w:val="00386B38"/>
    <w:rsid w:val="00390479"/>
    <w:rsid w:val="00390C63"/>
    <w:rsid w:val="003917B9"/>
    <w:rsid w:val="003918FC"/>
    <w:rsid w:val="00391E88"/>
    <w:rsid w:val="00392B5D"/>
    <w:rsid w:val="00393054"/>
    <w:rsid w:val="00393496"/>
    <w:rsid w:val="003937DC"/>
    <w:rsid w:val="00394350"/>
    <w:rsid w:val="003948BD"/>
    <w:rsid w:val="00395AC3"/>
    <w:rsid w:val="00396500"/>
    <w:rsid w:val="003A252D"/>
    <w:rsid w:val="003A43DE"/>
    <w:rsid w:val="003B50DF"/>
    <w:rsid w:val="003B6CF5"/>
    <w:rsid w:val="003B73E8"/>
    <w:rsid w:val="003B7B17"/>
    <w:rsid w:val="003C1CA8"/>
    <w:rsid w:val="003C2205"/>
    <w:rsid w:val="003C4E60"/>
    <w:rsid w:val="003C5C8B"/>
    <w:rsid w:val="003C649D"/>
    <w:rsid w:val="003D0EA6"/>
    <w:rsid w:val="003D12CB"/>
    <w:rsid w:val="003D1879"/>
    <w:rsid w:val="003D39E5"/>
    <w:rsid w:val="003D4503"/>
    <w:rsid w:val="003E079D"/>
    <w:rsid w:val="003E2212"/>
    <w:rsid w:val="003E26A0"/>
    <w:rsid w:val="003E2E44"/>
    <w:rsid w:val="003E32F3"/>
    <w:rsid w:val="003E373A"/>
    <w:rsid w:val="003E4716"/>
    <w:rsid w:val="003E6EB1"/>
    <w:rsid w:val="003E7436"/>
    <w:rsid w:val="003F00F4"/>
    <w:rsid w:val="003F0723"/>
    <w:rsid w:val="003F0A34"/>
    <w:rsid w:val="003F0C82"/>
    <w:rsid w:val="003F192E"/>
    <w:rsid w:val="003F1C23"/>
    <w:rsid w:val="003F1D28"/>
    <w:rsid w:val="003F3073"/>
    <w:rsid w:val="003F3086"/>
    <w:rsid w:val="003F5099"/>
    <w:rsid w:val="00402BE0"/>
    <w:rsid w:val="00406BDF"/>
    <w:rsid w:val="00406DA5"/>
    <w:rsid w:val="004101CC"/>
    <w:rsid w:val="00410FBC"/>
    <w:rsid w:val="0041485B"/>
    <w:rsid w:val="00414B48"/>
    <w:rsid w:val="00415F74"/>
    <w:rsid w:val="0041744F"/>
    <w:rsid w:val="004202EE"/>
    <w:rsid w:val="0042192D"/>
    <w:rsid w:val="00421C77"/>
    <w:rsid w:val="0042429C"/>
    <w:rsid w:val="0042774D"/>
    <w:rsid w:val="0043213F"/>
    <w:rsid w:val="00435C1F"/>
    <w:rsid w:val="00435D86"/>
    <w:rsid w:val="00436323"/>
    <w:rsid w:val="00436FF5"/>
    <w:rsid w:val="00437431"/>
    <w:rsid w:val="004461BD"/>
    <w:rsid w:val="00446827"/>
    <w:rsid w:val="0045016B"/>
    <w:rsid w:val="00454562"/>
    <w:rsid w:val="004569B0"/>
    <w:rsid w:val="00456C3C"/>
    <w:rsid w:val="004579E9"/>
    <w:rsid w:val="00461841"/>
    <w:rsid w:val="00464FCD"/>
    <w:rsid w:val="00465801"/>
    <w:rsid w:val="004669D5"/>
    <w:rsid w:val="00467432"/>
    <w:rsid w:val="00473821"/>
    <w:rsid w:val="00474BAB"/>
    <w:rsid w:val="00475C81"/>
    <w:rsid w:val="004762AD"/>
    <w:rsid w:val="004765FA"/>
    <w:rsid w:val="0047673F"/>
    <w:rsid w:val="004825E2"/>
    <w:rsid w:val="00485B9E"/>
    <w:rsid w:val="00487352"/>
    <w:rsid w:val="00490030"/>
    <w:rsid w:val="00490404"/>
    <w:rsid w:val="00491668"/>
    <w:rsid w:val="00491D1B"/>
    <w:rsid w:val="00494189"/>
    <w:rsid w:val="00496F1D"/>
    <w:rsid w:val="004A06BC"/>
    <w:rsid w:val="004A1C8D"/>
    <w:rsid w:val="004A20D2"/>
    <w:rsid w:val="004A2258"/>
    <w:rsid w:val="004A34A8"/>
    <w:rsid w:val="004A3BC3"/>
    <w:rsid w:val="004A4C9A"/>
    <w:rsid w:val="004A5655"/>
    <w:rsid w:val="004A5F18"/>
    <w:rsid w:val="004B5D08"/>
    <w:rsid w:val="004B7C9A"/>
    <w:rsid w:val="004C007D"/>
    <w:rsid w:val="004C1446"/>
    <w:rsid w:val="004C17C7"/>
    <w:rsid w:val="004C196D"/>
    <w:rsid w:val="004C2C19"/>
    <w:rsid w:val="004C69C2"/>
    <w:rsid w:val="004D4919"/>
    <w:rsid w:val="004D63F6"/>
    <w:rsid w:val="004D6B57"/>
    <w:rsid w:val="004D71B8"/>
    <w:rsid w:val="004E04D4"/>
    <w:rsid w:val="004E15A8"/>
    <w:rsid w:val="004E15B3"/>
    <w:rsid w:val="004E1863"/>
    <w:rsid w:val="004E5D56"/>
    <w:rsid w:val="004F093D"/>
    <w:rsid w:val="004F0E43"/>
    <w:rsid w:val="004F28E6"/>
    <w:rsid w:val="004F29A3"/>
    <w:rsid w:val="004F44FA"/>
    <w:rsid w:val="004F5075"/>
    <w:rsid w:val="004F555E"/>
    <w:rsid w:val="004F61B8"/>
    <w:rsid w:val="004F64A5"/>
    <w:rsid w:val="00500B71"/>
    <w:rsid w:val="0050394C"/>
    <w:rsid w:val="00504213"/>
    <w:rsid w:val="0050448E"/>
    <w:rsid w:val="00504559"/>
    <w:rsid w:val="00506481"/>
    <w:rsid w:val="005071B6"/>
    <w:rsid w:val="00507E7F"/>
    <w:rsid w:val="00510784"/>
    <w:rsid w:val="00512C8A"/>
    <w:rsid w:val="00515F6B"/>
    <w:rsid w:val="00515FDB"/>
    <w:rsid w:val="00516B5C"/>
    <w:rsid w:val="00520E08"/>
    <w:rsid w:val="005212AA"/>
    <w:rsid w:val="005217E3"/>
    <w:rsid w:val="00521F14"/>
    <w:rsid w:val="00523F68"/>
    <w:rsid w:val="0052714F"/>
    <w:rsid w:val="005314C5"/>
    <w:rsid w:val="00532E79"/>
    <w:rsid w:val="00533314"/>
    <w:rsid w:val="00540444"/>
    <w:rsid w:val="00540FC8"/>
    <w:rsid w:val="00540FE6"/>
    <w:rsid w:val="00542357"/>
    <w:rsid w:val="0054235B"/>
    <w:rsid w:val="005444CA"/>
    <w:rsid w:val="005450A7"/>
    <w:rsid w:val="00545801"/>
    <w:rsid w:val="005459DD"/>
    <w:rsid w:val="00547514"/>
    <w:rsid w:val="00547836"/>
    <w:rsid w:val="00550CA4"/>
    <w:rsid w:val="005512F2"/>
    <w:rsid w:val="0055267B"/>
    <w:rsid w:val="00552B0C"/>
    <w:rsid w:val="00553AB4"/>
    <w:rsid w:val="00553E30"/>
    <w:rsid w:val="00555B1B"/>
    <w:rsid w:val="00560671"/>
    <w:rsid w:val="00560DFC"/>
    <w:rsid w:val="005611D6"/>
    <w:rsid w:val="005616A0"/>
    <w:rsid w:val="0056172A"/>
    <w:rsid w:val="00562615"/>
    <w:rsid w:val="00563FFB"/>
    <w:rsid w:val="005672FD"/>
    <w:rsid w:val="00573868"/>
    <w:rsid w:val="00574E42"/>
    <w:rsid w:val="00575AE4"/>
    <w:rsid w:val="00576A7C"/>
    <w:rsid w:val="005774F2"/>
    <w:rsid w:val="00584E4A"/>
    <w:rsid w:val="00584F43"/>
    <w:rsid w:val="00585253"/>
    <w:rsid w:val="00586A99"/>
    <w:rsid w:val="00587466"/>
    <w:rsid w:val="005913F2"/>
    <w:rsid w:val="005914A8"/>
    <w:rsid w:val="00592839"/>
    <w:rsid w:val="00593512"/>
    <w:rsid w:val="00593D3D"/>
    <w:rsid w:val="00595C70"/>
    <w:rsid w:val="005A2085"/>
    <w:rsid w:val="005A40A9"/>
    <w:rsid w:val="005A44E4"/>
    <w:rsid w:val="005A57EE"/>
    <w:rsid w:val="005B0A19"/>
    <w:rsid w:val="005B0BCC"/>
    <w:rsid w:val="005B0BED"/>
    <w:rsid w:val="005B17BF"/>
    <w:rsid w:val="005B302D"/>
    <w:rsid w:val="005B4D05"/>
    <w:rsid w:val="005B525F"/>
    <w:rsid w:val="005C036D"/>
    <w:rsid w:val="005C16B5"/>
    <w:rsid w:val="005C5142"/>
    <w:rsid w:val="005C77A5"/>
    <w:rsid w:val="005D031B"/>
    <w:rsid w:val="005D1E6F"/>
    <w:rsid w:val="005D2586"/>
    <w:rsid w:val="005D2708"/>
    <w:rsid w:val="005D2B78"/>
    <w:rsid w:val="005D2C53"/>
    <w:rsid w:val="005D2F68"/>
    <w:rsid w:val="005D54C8"/>
    <w:rsid w:val="005E2214"/>
    <w:rsid w:val="005E23AE"/>
    <w:rsid w:val="005E263B"/>
    <w:rsid w:val="005E2774"/>
    <w:rsid w:val="005E2787"/>
    <w:rsid w:val="005E4CAC"/>
    <w:rsid w:val="005E6AE0"/>
    <w:rsid w:val="005F23DC"/>
    <w:rsid w:val="005F3972"/>
    <w:rsid w:val="005F4874"/>
    <w:rsid w:val="005F6D5B"/>
    <w:rsid w:val="005F7995"/>
    <w:rsid w:val="0060058D"/>
    <w:rsid w:val="0060290D"/>
    <w:rsid w:val="00604D07"/>
    <w:rsid w:val="00606DA1"/>
    <w:rsid w:val="0061125B"/>
    <w:rsid w:val="00611382"/>
    <w:rsid w:val="006137C9"/>
    <w:rsid w:val="006170B6"/>
    <w:rsid w:val="00617E2C"/>
    <w:rsid w:val="00621EA7"/>
    <w:rsid w:val="0062298B"/>
    <w:rsid w:val="00626AE0"/>
    <w:rsid w:val="006321AB"/>
    <w:rsid w:val="00632D46"/>
    <w:rsid w:val="00633E6F"/>
    <w:rsid w:val="00634037"/>
    <w:rsid w:val="00634B25"/>
    <w:rsid w:val="00635CFD"/>
    <w:rsid w:val="00636B3D"/>
    <w:rsid w:val="00641344"/>
    <w:rsid w:val="00641B71"/>
    <w:rsid w:val="00641CBF"/>
    <w:rsid w:val="0064267B"/>
    <w:rsid w:val="006450FD"/>
    <w:rsid w:val="0064650A"/>
    <w:rsid w:val="00652001"/>
    <w:rsid w:val="00652C5C"/>
    <w:rsid w:val="00653D6F"/>
    <w:rsid w:val="00654B98"/>
    <w:rsid w:val="00654C32"/>
    <w:rsid w:val="00655126"/>
    <w:rsid w:val="00657855"/>
    <w:rsid w:val="00657BE1"/>
    <w:rsid w:val="006638C4"/>
    <w:rsid w:val="006638D8"/>
    <w:rsid w:val="00663A81"/>
    <w:rsid w:val="0066528A"/>
    <w:rsid w:val="00666779"/>
    <w:rsid w:val="00673254"/>
    <w:rsid w:val="006739CA"/>
    <w:rsid w:val="00675846"/>
    <w:rsid w:val="0067797D"/>
    <w:rsid w:val="0068053A"/>
    <w:rsid w:val="0068100A"/>
    <w:rsid w:val="00685F00"/>
    <w:rsid w:val="0068783E"/>
    <w:rsid w:val="006939B0"/>
    <w:rsid w:val="00693B35"/>
    <w:rsid w:val="006947F2"/>
    <w:rsid w:val="006A11AB"/>
    <w:rsid w:val="006A123C"/>
    <w:rsid w:val="006A15B4"/>
    <w:rsid w:val="006A221F"/>
    <w:rsid w:val="006A404C"/>
    <w:rsid w:val="006A54C1"/>
    <w:rsid w:val="006A64B6"/>
    <w:rsid w:val="006A6E02"/>
    <w:rsid w:val="006A6EEA"/>
    <w:rsid w:val="006B0E0A"/>
    <w:rsid w:val="006B310D"/>
    <w:rsid w:val="006B339F"/>
    <w:rsid w:val="006B35FE"/>
    <w:rsid w:val="006B4791"/>
    <w:rsid w:val="006B4ED3"/>
    <w:rsid w:val="006C1FBE"/>
    <w:rsid w:val="006C3564"/>
    <w:rsid w:val="006C37FB"/>
    <w:rsid w:val="006C3907"/>
    <w:rsid w:val="006C3C27"/>
    <w:rsid w:val="006C4530"/>
    <w:rsid w:val="006C474A"/>
    <w:rsid w:val="006C500E"/>
    <w:rsid w:val="006C7258"/>
    <w:rsid w:val="006D0E0A"/>
    <w:rsid w:val="006D2861"/>
    <w:rsid w:val="006D4C0F"/>
    <w:rsid w:val="006D50BB"/>
    <w:rsid w:val="006D524A"/>
    <w:rsid w:val="006D7B20"/>
    <w:rsid w:val="006E05F8"/>
    <w:rsid w:val="006E0C4A"/>
    <w:rsid w:val="006E4A2B"/>
    <w:rsid w:val="006E5810"/>
    <w:rsid w:val="006E764F"/>
    <w:rsid w:val="006F0572"/>
    <w:rsid w:val="006F091C"/>
    <w:rsid w:val="006F279D"/>
    <w:rsid w:val="006F2F94"/>
    <w:rsid w:val="006F3532"/>
    <w:rsid w:val="006F5159"/>
    <w:rsid w:val="006F535E"/>
    <w:rsid w:val="006F599F"/>
    <w:rsid w:val="006F6573"/>
    <w:rsid w:val="007015E5"/>
    <w:rsid w:val="007017E2"/>
    <w:rsid w:val="00701E07"/>
    <w:rsid w:val="00702368"/>
    <w:rsid w:val="0070374C"/>
    <w:rsid w:val="00703F7D"/>
    <w:rsid w:val="00706A4E"/>
    <w:rsid w:val="00706EE6"/>
    <w:rsid w:val="007116B5"/>
    <w:rsid w:val="007128CB"/>
    <w:rsid w:val="00713442"/>
    <w:rsid w:val="00714475"/>
    <w:rsid w:val="00715BFF"/>
    <w:rsid w:val="007167A2"/>
    <w:rsid w:val="00716C75"/>
    <w:rsid w:val="00720491"/>
    <w:rsid w:val="0072347B"/>
    <w:rsid w:val="007241E4"/>
    <w:rsid w:val="00726950"/>
    <w:rsid w:val="00731D1C"/>
    <w:rsid w:val="00732BCB"/>
    <w:rsid w:val="00734992"/>
    <w:rsid w:val="00735727"/>
    <w:rsid w:val="00736C0D"/>
    <w:rsid w:val="00737437"/>
    <w:rsid w:val="00737EAC"/>
    <w:rsid w:val="00741CD7"/>
    <w:rsid w:val="00742958"/>
    <w:rsid w:val="00743933"/>
    <w:rsid w:val="007457E0"/>
    <w:rsid w:val="007508C1"/>
    <w:rsid w:val="00752961"/>
    <w:rsid w:val="0075368F"/>
    <w:rsid w:val="00753A70"/>
    <w:rsid w:val="00754306"/>
    <w:rsid w:val="00754646"/>
    <w:rsid w:val="0075592C"/>
    <w:rsid w:val="00756DD0"/>
    <w:rsid w:val="00757016"/>
    <w:rsid w:val="007570B7"/>
    <w:rsid w:val="00760063"/>
    <w:rsid w:val="00764FC5"/>
    <w:rsid w:val="00766AE0"/>
    <w:rsid w:val="00770FC2"/>
    <w:rsid w:val="00774095"/>
    <w:rsid w:val="007746EB"/>
    <w:rsid w:val="00774794"/>
    <w:rsid w:val="00776AA8"/>
    <w:rsid w:val="007771E0"/>
    <w:rsid w:val="00781AB6"/>
    <w:rsid w:val="007824D1"/>
    <w:rsid w:val="00782DD8"/>
    <w:rsid w:val="007857D3"/>
    <w:rsid w:val="007858D3"/>
    <w:rsid w:val="00786153"/>
    <w:rsid w:val="00786386"/>
    <w:rsid w:val="007876BA"/>
    <w:rsid w:val="00787AB2"/>
    <w:rsid w:val="0079161B"/>
    <w:rsid w:val="00791FDC"/>
    <w:rsid w:val="0079557C"/>
    <w:rsid w:val="007977D1"/>
    <w:rsid w:val="007A009C"/>
    <w:rsid w:val="007A0673"/>
    <w:rsid w:val="007A3B83"/>
    <w:rsid w:val="007A4271"/>
    <w:rsid w:val="007B0BD5"/>
    <w:rsid w:val="007B1B45"/>
    <w:rsid w:val="007B1CEA"/>
    <w:rsid w:val="007B29A4"/>
    <w:rsid w:val="007B3E4F"/>
    <w:rsid w:val="007B43EF"/>
    <w:rsid w:val="007B55A5"/>
    <w:rsid w:val="007B6EEC"/>
    <w:rsid w:val="007B6F13"/>
    <w:rsid w:val="007C139D"/>
    <w:rsid w:val="007C3EAC"/>
    <w:rsid w:val="007C4558"/>
    <w:rsid w:val="007C4B8F"/>
    <w:rsid w:val="007C4CE3"/>
    <w:rsid w:val="007C78AC"/>
    <w:rsid w:val="007D1568"/>
    <w:rsid w:val="007D1B88"/>
    <w:rsid w:val="007D256D"/>
    <w:rsid w:val="007D3B92"/>
    <w:rsid w:val="007D5614"/>
    <w:rsid w:val="007D6E62"/>
    <w:rsid w:val="007E0708"/>
    <w:rsid w:val="007E0EDD"/>
    <w:rsid w:val="007E1CA6"/>
    <w:rsid w:val="007E3ADD"/>
    <w:rsid w:val="007E571C"/>
    <w:rsid w:val="007E7F56"/>
    <w:rsid w:val="007F3693"/>
    <w:rsid w:val="007F4947"/>
    <w:rsid w:val="007F590F"/>
    <w:rsid w:val="00800565"/>
    <w:rsid w:val="00800F78"/>
    <w:rsid w:val="0080269A"/>
    <w:rsid w:val="00810DDE"/>
    <w:rsid w:val="00814CC2"/>
    <w:rsid w:val="00815147"/>
    <w:rsid w:val="00815BF1"/>
    <w:rsid w:val="00815D21"/>
    <w:rsid w:val="00817ACF"/>
    <w:rsid w:val="00817D66"/>
    <w:rsid w:val="00817DE8"/>
    <w:rsid w:val="0082100A"/>
    <w:rsid w:val="00821CB5"/>
    <w:rsid w:val="00822700"/>
    <w:rsid w:val="00822847"/>
    <w:rsid w:val="00822AA5"/>
    <w:rsid w:val="008241CF"/>
    <w:rsid w:val="0083050B"/>
    <w:rsid w:val="00830868"/>
    <w:rsid w:val="0083224B"/>
    <w:rsid w:val="00832DB5"/>
    <w:rsid w:val="00835C5F"/>
    <w:rsid w:val="00840804"/>
    <w:rsid w:val="00841042"/>
    <w:rsid w:val="008419DE"/>
    <w:rsid w:val="00845230"/>
    <w:rsid w:val="00845349"/>
    <w:rsid w:val="00847DB2"/>
    <w:rsid w:val="00850588"/>
    <w:rsid w:val="00851536"/>
    <w:rsid w:val="00851776"/>
    <w:rsid w:val="008519FC"/>
    <w:rsid w:val="00853C6B"/>
    <w:rsid w:val="00855A18"/>
    <w:rsid w:val="00856A04"/>
    <w:rsid w:val="00856D4A"/>
    <w:rsid w:val="00857ABA"/>
    <w:rsid w:val="008603E1"/>
    <w:rsid w:val="00860662"/>
    <w:rsid w:val="00861209"/>
    <w:rsid w:val="00863F24"/>
    <w:rsid w:val="00864D3B"/>
    <w:rsid w:val="0086560A"/>
    <w:rsid w:val="008705CB"/>
    <w:rsid w:val="00871083"/>
    <w:rsid w:val="0087278F"/>
    <w:rsid w:val="00872AAB"/>
    <w:rsid w:val="0087391C"/>
    <w:rsid w:val="008741DA"/>
    <w:rsid w:val="008757DF"/>
    <w:rsid w:val="0088092A"/>
    <w:rsid w:val="008817B7"/>
    <w:rsid w:val="008817C1"/>
    <w:rsid w:val="008818A7"/>
    <w:rsid w:val="00883664"/>
    <w:rsid w:val="00884488"/>
    <w:rsid w:val="008847BC"/>
    <w:rsid w:val="00884839"/>
    <w:rsid w:val="008858E0"/>
    <w:rsid w:val="008863C5"/>
    <w:rsid w:val="00886972"/>
    <w:rsid w:val="00891DC3"/>
    <w:rsid w:val="00891FA0"/>
    <w:rsid w:val="008923BE"/>
    <w:rsid w:val="00892D90"/>
    <w:rsid w:val="008936A2"/>
    <w:rsid w:val="00894AC7"/>
    <w:rsid w:val="00894F0C"/>
    <w:rsid w:val="00895699"/>
    <w:rsid w:val="008959F3"/>
    <w:rsid w:val="008964C7"/>
    <w:rsid w:val="00896BEC"/>
    <w:rsid w:val="008A1388"/>
    <w:rsid w:val="008A186A"/>
    <w:rsid w:val="008A2E54"/>
    <w:rsid w:val="008A57B5"/>
    <w:rsid w:val="008B1076"/>
    <w:rsid w:val="008B3B68"/>
    <w:rsid w:val="008B44C0"/>
    <w:rsid w:val="008B4ED3"/>
    <w:rsid w:val="008B5606"/>
    <w:rsid w:val="008B59AB"/>
    <w:rsid w:val="008B6F30"/>
    <w:rsid w:val="008B783C"/>
    <w:rsid w:val="008B7C2F"/>
    <w:rsid w:val="008C32AC"/>
    <w:rsid w:val="008C678B"/>
    <w:rsid w:val="008D2410"/>
    <w:rsid w:val="008D6444"/>
    <w:rsid w:val="008E0E60"/>
    <w:rsid w:val="008E4008"/>
    <w:rsid w:val="008E4BA5"/>
    <w:rsid w:val="008E59E3"/>
    <w:rsid w:val="008E6F6E"/>
    <w:rsid w:val="008F1D12"/>
    <w:rsid w:val="008F2405"/>
    <w:rsid w:val="008F2763"/>
    <w:rsid w:val="008F35F1"/>
    <w:rsid w:val="008F4409"/>
    <w:rsid w:val="008F4DA0"/>
    <w:rsid w:val="008F631D"/>
    <w:rsid w:val="008F75FC"/>
    <w:rsid w:val="00903188"/>
    <w:rsid w:val="00903D37"/>
    <w:rsid w:val="009105EA"/>
    <w:rsid w:val="0091096F"/>
    <w:rsid w:val="00910BC3"/>
    <w:rsid w:val="00910BCF"/>
    <w:rsid w:val="00910DC4"/>
    <w:rsid w:val="009121F1"/>
    <w:rsid w:val="009129BA"/>
    <w:rsid w:val="00912C2F"/>
    <w:rsid w:val="00912CFF"/>
    <w:rsid w:val="009130A9"/>
    <w:rsid w:val="0091402B"/>
    <w:rsid w:val="009145C9"/>
    <w:rsid w:val="00920097"/>
    <w:rsid w:val="009205BA"/>
    <w:rsid w:val="009206C9"/>
    <w:rsid w:val="00924619"/>
    <w:rsid w:val="0092506C"/>
    <w:rsid w:val="009267D4"/>
    <w:rsid w:val="009302E6"/>
    <w:rsid w:val="00931498"/>
    <w:rsid w:val="009322B5"/>
    <w:rsid w:val="00932CD6"/>
    <w:rsid w:val="0093343E"/>
    <w:rsid w:val="00933C68"/>
    <w:rsid w:val="00933F17"/>
    <w:rsid w:val="009401D4"/>
    <w:rsid w:val="0094060B"/>
    <w:rsid w:val="0094198A"/>
    <w:rsid w:val="00944457"/>
    <w:rsid w:val="00944AC4"/>
    <w:rsid w:val="00946C5A"/>
    <w:rsid w:val="009510D6"/>
    <w:rsid w:val="00953F30"/>
    <w:rsid w:val="0095439C"/>
    <w:rsid w:val="00954B0E"/>
    <w:rsid w:val="00955C72"/>
    <w:rsid w:val="00960099"/>
    <w:rsid w:val="009649B5"/>
    <w:rsid w:val="009663F1"/>
    <w:rsid w:val="00966A8D"/>
    <w:rsid w:val="00973200"/>
    <w:rsid w:val="00973FEA"/>
    <w:rsid w:val="00976F09"/>
    <w:rsid w:val="00977175"/>
    <w:rsid w:val="00983F4E"/>
    <w:rsid w:val="00986CEF"/>
    <w:rsid w:val="0099339E"/>
    <w:rsid w:val="00993F39"/>
    <w:rsid w:val="00994976"/>
    <w:rsid w:val="00996CE9"/>
    <w:rsid w:val="009A17A7"/>
    <w:rsid w:val="009A22A2"/>
    <w:rsid w:val="009A245E"/>
    <w:rsid w:val="009A2A49"/>
    <w:rsid w:val="009A6880"/>
    <w:rsid w:val="009B0B44"/>
    <w:rsid w:val="009B100E"/>
    <w:rsid w:val="009B15CA"/>
    <w:rsid w:val="009B178D"/>
    <w:rsid w:val="009B25BF"/>
    <w:rsid w:val="009B2A86"/>
    <w:rsid w:val="009B2BDC"/>
    <w:rsid w:val="009B4339"/>
    <w:rsid w:val="009B4479"/>
    <w:rsid w:val="009B5703"/>
    <w:rsid w:val="009B590D"/>
    <w:rsid w:val="009B7876"/>
    <w:rsid w:val="009C3747"/>
    <w:rsid w:val="009C3E7E"/>
    <w:rsid w:val="009C74D6"/>
    <w:rsid w:val="009C75C2"/>
    <w:rsid w:val="009D04AB"/>
    <w:rsid w:val="009D2B20"/>
    <w:rsid w:val="009D3510"/>
    <w:rsid w:val="009D45A3"/>
    <w:rsid w:val="009D6E89"/>
    <w:rsid w:val="009D78C7"/>
    <w:rsid w:val="009D7EF3"/>
    <w:rsid w:val="009E0D4B"/>
    <w:rsid w:val="009E1414"/>
    <w:rsid w:val="009E1A53"/>
    <w:rsid w:val="009E1D0C"/>
    <w:rsid w:val="009E2D9E"/>
    <w:rsid w:val="009E59D6"/>
    <w:rsid w:val="009E621E"/>
    <w:rsid w:val="009E68D7"/>
    <w:rsid w:val="009E740F"/>
    <w:rsid w:val="009F15F5"/>
    <w:rsid w:val="009F26F3"/>
    <w:rsid w:val="009F4A05"/>
    <w:rsid w:val="009F5749"/>
    <w:rsid w:val="009F6132"/>
    <w:rsid w:val="009F6A7C"/>
    <w:rsid w:val="00A04530"/>
    <w:rsid w:val="00A057CA"/>
    <w:rsid w:val="00A1002D"/>
    <w:rsid w:val="00A10E85"/>
    <w:rsid w:val="00A10F2E"/>
    <w:rsid w:val="00A11CE7"/>
    <w:rsid w:val="00A2021E"/>
    <w:rsid w:val="00A213B5"/>
    <w:rsid w:val="00A22B10"/>
    <w:rsid w:val="00A2365B"/>
    <w:rsid w:val="00A23B00"/>
    <w:rsid w:val="00A26C5B"/>
    <w:rsid w:val="00A3054B"/>
    <w:rsid w:val="00A33282"/>
    <w:rsid w:val="00A33DB2"/>
    <w:rsid w:val="00A36C31"/>
    <w:rsid w:val="00A41101"/>
    <w:rsid w:val="00A43A67"/>
    <w:rsid w:val="00A5386A"/>
    <w:rsid w:val="00A6143E"/>
    <w:rsid w:val="00A639F7"/>
    <w:rsid w:val="00A6410E"/>
    <w:rsid w:val="00A6487B"/>
    <w:rsid w:val="00A65B45"/>
    <w:rsid w:val="00A71105"/>
    <w:rsid w:val="00A725CB"/>
    <w:rsid w:val="00A74770"/>
    <w:rsid w:val="00A74FBA"/>
    <w:rsid w:val="00A75105"/>
    <w:rsid w:val="00A806CE"/>
    <w:rsid w:val="00A813C7"/>
    <w:rsid w:val="00A828ED"/>
    <w:rsid w:val="00A830F4"/>
    <w:rsid w:val="00A83D7F"/>
    <w:rsid w:val="00A83F2F"/>
    <w:rsid w:val="00A8503F"/>
    <w:rsid w:val="00A8635D"/>
    <w:rsid w:val="00A90A00"/>
    <w:rsid w:val="00A90CDA"/>
    <w:rsid w:val="00A90DF2"/>
    <w:rsid w:val="00A95427"/>
    <w:rsid w:val="00A968D5"/>
    <w:rsid w:val="00A96F81"/>
    <w:rsid w:val="00AA0BA7"/>
    <w:rsid w:val="00AA21C1"/>
    <w:rsid w:val="00AA3683"/>
    <w:rsid w:val="00AA3989"/>
    <w:rsid w:val="00AA3D9F"/>
    <w:rsid w:val="00AA51E8"/>
    <w:rsid w:val="00AA59FE"/>
    <w:rsid w:val="00AA7312"/>
    <w:rsid w:val="00AB0044"/>
    <w:rsid w:val="00AB04B0"/>
    <w:rsid w:val="00AC1F34"/>
    <w:rsid w:val="00AC3049"/>
    <w:rsid w:val="00AC3A80"/>
    <w:rsid w:val="00AC56FF"/>
    <w:rsid w:val="00AC5E53"/>
    <w:rsid w:val="00AC6890"/>
    <w:rsid w:val="00AC69DB"/>
    <w:rsid w:val="00AC73A7"/>
    <w:rsid w:val="00AC7F5C"/>
    <w:rsid w:val="00AD0EFC"/>
    <w:rsid w:val="00AD2186"/>
    <w:rsid w:val="00AD47A6"/>
    <w:rsid w:val="00AD47F9"/>
    <w:rsid w:val="00AD49C0"/>
    <w:rsid w:val="00AD6E55"/>
    <w:rsid w:val="00AD6E5A"/>
    <w:rsid w:val="00AD7791"/>
    <w:rsid w:val="00AD7E72"/>
    <w:rsid w:val="00AE02B9"/>
    <w:rsid w:val="00AE04DE"/>
    <w:rsid w:val="00AE101E"/>
    <w:rsid w:val="00AE348D"/>
    <w:rsid w:val="00AE3E0D"/>
    <w:rsid w:val="00AE45B4"/>
    <w:rsid w:val="00AE6236"/>
    <w:rsid w:val="00AE660D"/>
    <w:rsid w:val="00AE66B1"/>
    <w:rsid w:val="00AE70C0"/>
    <w:rsid w:val="00AF0613"/>
    <w:rsid w:val="00AF12D2"/>
    <w:rsid w:val="00AF3CEE"/>
    <w:rsid w:val="00AF433E"/>
    <w:rsid w:val="00AF7D77"/>
    <w:rsid w:val="00AF7F10"/>
    <w:rsid w:val="00B00398"/>
    <w:rsid w:val="00B00D0A"/>
    <w:rsid w:val="00B04879"/>
    <w:rsid w:val="00B065D1"/>
    <w:rsid w:val="00B06610"/>
    <w:rsid w:val="00B066EE"/>
    <w:rsid w:val="00B07750"/>
    <w:rsid w:val="00B07B85"/>
    <w:rsid w:val="00B12FBE"/>
    <w:rsid w:val="00B136AD"/>
    <w:rsid w:val="00B218C0"/>
    <w:rsid w:val="00B21A61"/>
    <w:rsid w:val="00B22B42"/>
    <w:rsid w:val="00B23074"/>
    <w:rsid w:val="00B23477"/>
    <w:rsid w:val="00B23F45"/>
    <w:rsid w:val="00B247EC"/>
    <w:rsid w:val="00B25130"/>
    <w:rsid w:val="00B26E63"/>
    <w:rsid w:val="00B26F14"/>
    <w:rsid w:val="00B27B5F"/>
    <w:rsid w:val="00B33610"/>
    <w:rsid w:val="00B34289"/>
    <w:rsid w:val="00B358EE"/>
    <w:rsid w:val="00B35D7D"/>
    <w:rsid w:val="00B365B5"/>
    <w:rsid w:val="00B36BC6"/>
    <w:rsid w:val="00B371EE"/>
    <w:rsid w:val="00B3763A"/>
    <w:rsid w:val="00B37801"/>
    <w:rsid w:val="00B37A93"/>
    <w:rsid w:val="00B37C0A"/>
    <w:rsid w:val="00B37D45"/>
    <w:rsid w:val="00B37F13"/>
    <w:rsid w:val="00B41321"/>
    <w:rsid w:val="00B442CB"/>
    <w:rsid w:val="00B460F6"/>
    <w:rsid w:val="00B46484"/>
    <w:rsid w:val="00B464C5"/>
    <w:rsid w:val="00B46CD2"/>
    <w:rsid w:val="00B47331"/>
    <w:rsid w:val="00B50328"/>
    <w:rsid w:val="00B50A4C"/>
    <w:rsid w:val="00B52168"/>
    <w:rsid w:val="00B521CF"/>
    <w:rsid w:val="00B52AC8"/>
    <w:rsid w:val="00B539B4"/>
    <w:rsid w:val="00B56210"/>
    <w:rsid w:val="00B5667B"/>
    <w:rsid w:val="00B60BBB"/>
    <w:rsid w:val="00B61A28"/>
    <w:rsid w:val="00B63FC0"/>
    <w:rsid w:val="00B65B76"/>
    <w:rsid w:val="00B67458"/>
    <w:rsid w:val="00B70334"/>
    <w:rsid w:val="00B72D99"/>
    <w:rsid w:val="00B74545"/>
    <w:rsid w:val="00B74688"/>
    <w:rsid w:val="00B74BCF"/>
    <w:rsid w:val="00B75CAF"/>
    <w:rsid w:val="00B75FE3"/>
    <w:rsid w:val="00B77154"/>
    <w:rsid w:val="00B77E23"/>
    <w:rsid w:val="00B85B8A"/>
    <w:rsid w:val="00B85DC8"/>
    <w:rsid w:val="00B87273"/>
    <w:rsid w:val="00B923DC"/>
    <w:rsid w:val="00B92711"/>
    <w:rsid w:val="00B952C7"/>
    <w:rsid w:val="00B9705E"/>
    <w:rsid w:val="00BA5DCA"/>
    <w:rsid w:val="00BA5DE0"/>
    <w:rsid w:val="00BB15D3"/>
    <w:rsid w:val="00BB339A"/>
    <w:rsid w:val="00BB5067"/>
    <w:rsid w:val="00BB5101"/>
    <w:rsid w:val="00BB6B9C"/>
    <w:rsid w:val="00BC18B1"/>
    <w:rsid w:val="00BC3968"/>
    <w:rsid w:val="00BC39FC"/>
    <w:rsid w:val="00BC4563"/>
    <w:rsid w:val="00BC59E8"/>
    <w:rsid w:val="00BC5A64"/>
    <w:rsid w:val="00BC6BB3"/>
    <w:rsid w:val="00BC79A8"/>
    <w:rsid w:val="00BC7D7C"/>
    <w:rsid w:val="00BD2BCD"/>
    <w:rsid w:val="00BD4D4F"/>
    <w:rsid w:val="00BD4E43"/>
    <w:rsid w:val="00BD7F49"/>
    <w:rsid w:val="00BE07E8"/>
    <w:rsid w:val="00BE45AC"/>
    <w:rsid w:val="00BE4D76"/>
    <w:rsid w:val="00BE56C0"/>
    <w:rsid w:val="00BE5CB0"/>
    <w:rsid w:val="00BE6376"/>
    <w:rsid w:val="00BE757E"/>
    <w:rsid w:val="00BF131F"/>
    <w:rsid w:val="00BF4D88"/>
    <w:rsid w:val="00BF51A4"/>
    <w:rsid w:val="00C049BE"/>
    <w:rsid w:val="00C05418"/>
    <w:rsid w:val="00C067EA"/>
    <w:rsid w:val="00C07241"/>
    <w:rsid w:val="00C076CA"/>
    <w:rsid w:val="00C07A36"/>
    <w:rsid w:val="00C11DB1"/>
    <w:rsid w:val="00C13450"/>
    <w:rsid w:val="00C1448F"/>
    <w:rsid w:val="00C163BA"/>
    <w:rsid w:val="00C20741"/>
    <w:rsid w:val="00C239ED"/>
    <w:rsid w:val="00C23A1F"/>
    <w:rsid w:val="00C25DBA"/>
    <w:rsid w:val="00C301E2"/>
    <w:rsid w:val="00C3070D"/>
    <w:rsid w:val="00C3084D"/>
    <w:rsid w:val="00C311DB"/>
    <w:rsid w:val="00C32C3C"/>
    <w:rsid w:val="00C46957"/>
    <w:rsid w:val="00C479CC"/>
    <w:rsid w:val="00C503D1"/>
    <w:rsid w:val="00C51B15"/>
    <w:rsid w:val="00C52A90"/>
    <w:rsid w:val="00C52FDE"/>
    <w:rsid w:val="00C53F44"/>
    <w:rsid w:val="00C54E99"/>
    <w:rsid w:val="00C55379"/>
    <w:rsid w:val="00C56E4E"/>
    <w:rsid w:val="00C57328"/>
    <w:rsid w:val="00C579AC"/>
    <w:rsid w:val="00C57CF1"/>
    <w:rsid w:val="00C60383"/>
    <w:rsid w:val="00C61CDF"/>
    <w:rsid w:val="00C63DB9"/>
    <w:rsid w:val="00C642B0"/>
    <w:rsid w:val="00C6524C"/>
    <w:rsid w:val="00C67C60"/>
    <w:rsid w:val="00C72A4E"/>
    <w:rsid w:val="00C73928"/>
    <w:rsid w:val="00C808B2"/>
    <w:rsid w:val="00C81AA9"/>
    <w:rsid w:val="00C85902"/>
    <w:rsid w:val="00C865B7"/>
    <w:rsid w:val="00C87D1E"/>
    <w:rsid w:val="00C91E6F"/>
    <w:rsid w:val="00C92E50"/>
    <w:rsid w:val="00C92FCD"/>
    <w:rsid w:val="00C944C8"/>
    <w:rsid w:val="00C9512E"/>
    <w:rsid w:val="00C96C75"/>
    <w:rsid w:val="00CA0CEB"/>
    <w:rsid w:val="00CA256E"/>
    <w:rsid w:val="00CA3CB2"/>
    <w:rsid w:val="00CA5931"/>
    <w:rsid w:val="00CB38A8"/>
    <w:rsid w:val="00CB46A2"/>
    <w:rsid w:val="00CC029F"/>
    <w:rsid w:val="00CC1230"/>
    <w:rsid w:val="00CC3A37"/>
    <w:rsid w:val="00CC3F1B"/>
    <w:rsid w:val="00CC438D"/>
    <w:rsid w:val="00CC4F73"/>
    <w:rsid w:val="00CD2507"/>
    <w:rsid w:val="00CD2DDF"/>
    <w:rsid w:val="00CD2FAA"/>
    <w:rsid w:val="00CD39E9"/>
    <w:rsid w:val="00CD4295"/>
    <w:rsid w:val="00CD513E"/>
    <w:rsid w:val="00CD6799"/>
    <w:rsid w:val="00CD6C0F"/>
    <w:rsid w:val="00CE0570"/>
    <w:rsid w:val="00CE0BF0"/>
    <w:rsid w:val="00CE3ED6"/>
    <w:rsid w:val="00CF024D"/>
    <w:rsid w:val="00CF15A4"/>
    <w:rsid w:val="00CF16F6"/>
    <w:rsid w:val="00CF3D8C"/>
    <w:rsid w:val="00CF5463"/>
    <w:rsid w:val="00CF5EC4"/>
    <w:rsid w:val="00CF650A"/>
    <w:rsid w:val="00CF66DD"/>
    <w:rsid w:val="00CF679E"/>
    <w:rsid w:val="00CF78D2"/>
    <w:rsid w:val="00D00F36"/>
    <w:rsid w:val="00D01508"/>
    <w:rsid w:val="00D0233A"/>
    <w:rsid w:val="00D02967"/>
    <w:rsid w:val="00D0390C"/>
    <w:rsid w:val="00D04205"/>
    <w:rsid w:val="00D04752"/>
    <w:rsid w:val="00D04D88"/>
    <w:rsid w:val="00D059A3"/>
    <w:rsid w:val="00D07D77"/>
    <w:rsid w:val="00D10E72"/>
    <w:rsid w:val="00D128C6"/>
    <w:rsid w:val="00D14479"/>
    <w:rsid w:val="00D15180"/>
    <w:rsid w:val="00D15419"/>
    <w:rsid w:val="00D17842"/>
    <w:rsid w:val="00D222F0"/>
    <w:rsid w:val="00D236BF"/>
    <w:rsid w:val="00D242D7"/>
    <w:rsid w:val="00D24A08"/>
    <w:rsid w:val="00D24C0F"/>
    <w:rsid w:val="00D253E8"/>
    <w:rsid w:val="00D3009F"/>
    <w:rsid w:val="00D30117"/>
    <w:rsid w:val="00D32690"/>
    <w:rsid w:val="00D3398B"/>
    <w:rsid w:val="00D33DDA"/>
    <w:rsid w:val="00D35BC5"/>
    <w:rsid w:val="00D3640E"/>
    <w:rsid w:val="00D43691"/>
    <w:rsid w:val="00D43E1E"/>
    <w:rsid w:val="00D44180"/>
    <w:rsid w:val="00D4608E"/>
    <w:rsid w:val="00D47FB1"/>
    <w:rsid w:val="00D51491"/>
    <w:rsid w:val="00D51E66"/>
    <w:rsid w:val="00D540EA"/>
    <w:rsid w:val="00D54242"/>
    <w:rsid w:val="00D54E27"/>
    <w:rsid w:val="00D57790"/>
    <w:rsid w:val="00D60DC2"/>
    <w:rsid w:val="00D626A1"/>
    <w:rsid w:val="00D63B2B"/>
    <w:rsid w:val="00D63E8D"/>
    <w:rsid w:val="00D641CE"/>
    <w:rsid w:val="00D64C44"/>
    <w:rsid w:val="00D66E65"/>
    <w:rsid w:val="00D66F17"/>
    <w:rsid w:val="00D676F5"/>
    <w:rsid w:val="00D70F91"/>
    <w:rsid w:val="00D70F9A"/>
    <w:rsid w:val="00D72193"/>
    <w:rsid w:val="00D73E57"/>
    <w:rsid w:val="00D744B3"/>
    <w:rsid w:val="00D777CF"/>
    <w:rsid w:val="00D81702"/>
    <w:rsid w:val="00D817AC"/>
    <w:rsid w:val="00D81A0B"/>
    <w:rsid w:val="00D82538"/>
    <w:rsid w:val="00D83BD9"/>
    <w:rsid w:val="00D83D59"/>
    <w:rsid w:val="00D84467"/>
    <w:rsid w:val="00D85A69"/>
    <w:rsid w:val="00D86197"/>
    <w:rsid w:val="00D863B2"/>
    <w:rsid w:val="00D90519"/>
    <w:rsid w:val="00D94988"/>
    <w:rsid w:val="00D97AC6"/>
    <w:rsid w:val="00DA2962"/>
    <w:rsid w:val="00DA6483"/>
    <w:rsid w:val="00DA794C"/>
    <w:rsid w:val="00DB056D"/>
    <w:rsid w:val="00DB1303"/>
    <w:rsid w:val="00DB3007"/>
    <w:rsid w:val="00DB3917"/>
    <w:rsid w:val="00DB5A4B"/>
    <w:rsid w:val="00DB7008"/>
    <w:rsid w:val="00DC1993"/>
    <w:rsid w:val="00DC1D7D"/>
    <w:rsid w:val="00DC3D55"/>
    <w:rsid w:val="00DC509F"/>
    <w:rsid w:val="00DC6741"/>
    <w:rsid w:val="00DD02DD"/>
    <w:rsid w:val="00DD29D5"/>
    <w:rsid w:val="00DD40B4"/>
    <w:rsid w:val="00DD460B"/>
    <w:rsid w:val="00DD49D0"/>
    <w:rsid w:val="00DD4ABA"/>
    <w:rsid w:val="00DD4AFD"/>
    <w:rsid w:val="00DD51D9"/>
    <w:rsid w:val="00DD566E"/>
    <w:rsid w:val="00DD6C2E"/>
    <w:rsid w:val="00DE1FF0"/>
    <w:rsid w:val="00DE4B3C"/>
    <w:rsid w:val="00DE715E"/>
    <w:rsid w:val="00DE78AE"/>
    <w:rsid w:val="00DF20B9"/>
    <w:rsid w:val="00DF2742"/>
    <w:rsid w:val="00DF47DB"/>
    <w:rsid w:val="00DF5DB6"/>
    <w:rsid w:val="00DF601B"/>
    <w:rsid w:val="00E01C84"/>
    <w:rsid w:val="00E03110"/>
    <w:rsid w:val="00E03CD3"/>
    <w:rsid w:val="00E03F79"/>
    <w:rsid w:val="00E04707"/>
    <w:rsid w:val="00E06D56"/>
    <w:rsid w:val="00E0703B"/>
    <w:rsid w:val="00E1069D"/>
    <w:rsid w:val="00E10843"/>
    <w:rsid w:val="00E11AF3"/>
    <w:rsid w:val="00E122F0"/>
    <w:rsid w:val="00E16664"/>
    <w:rsid w:val="00E2013F"/>
    <w:rsid w:val="00E222B6"/>
    <w:rsid w:val="00E22A03"/>
    <w:rsid w:val="00E23D9A"/>
    <w:rsid w:val="00E24C53"/>
    <w:rsid w:val="00E25FD7"/>
    <w:rsid w:val="00E26340"/>
    <w:rsid w:val="00E26419"/>
    <w:rsid w:val="00E2765E"/>
    <w:rsid w:val="00E31CB6"/>
    <w:rsid w:val="00E33237"/>
    <w:rsid w:val="00E33EB1"/>
    <w:rsid w:val="00E34A3C"/>
    <w:rsid w:val="00E3696D"/>
    <w:rsid w:val="00E36FBD"/>
    <w:rsid w:val="00E4088B"/>
    <w:rsid w:val="00E409FE"/>
    <w:rsid w:val="00E40F23"/>
    <w:rsid w:val="00E41CD2"/>
    <w:rsid w:val="00E4580C"/>
    <w:rsid w:val="00E50125"/>
    <w:rsid w:val="00E50131"/>
    <w:rsid w:val="00E50591"/>
    <w:rsid w:val="00E5338A"/>
    <w:rsid w:val="00E544AF"/>
    <w:rsid w:val="00E545B2"/>
    <w:rsid w:val="00E56288"/>
    <w:rsid w:val="00E569F2"/>
    <w:rsid w:val="00E6074E"/>
    <w:rsid w:val="00E60A7C"/>
    <w:rsid w:val="00E611C1"/>
    <w:rsid w:val="00E65454"/>
    <w:rsid w:val="00E655F7"/>
    <w:rsid w:val="00E67D9E"/>
    <w:rsid w:val="00E70A3F"/>
    <w:rsid w:val="00E77241"/>
    <w:rsid w:val="00E80667"/>
    <w:rsid w:val="00E82379"/>
    <w:rsid w:val="00E82CFC"/>
    <w:rsid w:val="00E841F1"/>
    <w:rsid w:val="00E86747"/>
    <w:rsid w:val="00E86D33"/>
    <w:rsid w:val="00E87EE0"/>
    <w:rsid w:val="00E9230D"/>
    <w:rsid w:val="00E94264"/>
    <w:rsid w:val="00E94D18"/>
    <w:rsid w:val="00E95DC7"/>
    <w:rsid w:val="00EA01D1"/>
    <w:rsid w:val="00EA09AE"/>
    <w:rsid w:val="00EA13C5"/>
    <w:rsid w:val="00EA38B6"/>
    <w:rsid w:val="00EA4B64"/>
    <w:rsid w:val="00EA5EA6"/>
    <w:rsid w:val="00EA74F1"/>
    <w:rsid w:val="00EB0BFE"/>
    <w:rsid w:val="00EB551A"/>
    <w:rsid w:val="00EB6291"/>
    <w:rsid w:val="00EB7C49"/>
    <w:rsid w:val="00EC5FD5"/>
    <w:rsid w:val="00EC6FEA"/>
    <w:rsid w:val="00ED3362"/>
    <w:rsid w:val="00ED3713"/>
    <w:rsid w:val="00ED38EE"/>
    <w:rsid w:val="00ED6241"/>
    <w:rsid w:val="00ED7441"/>
    <w:rsid w:val="00EE0E4C"/>
    <w:rsid w:val="00EE3652"/>
    <w:rsid w:val="00EE396A"/>
    <w:rsid w:val="00EE4C94"/>
    <w:rsid w:val="00EF321F"/>
    <w:rsid w:val="00EF44AE"/>
    <w:rsid w:val="00EF5141"/>
    <w:rsid w:val="00EF620C"/>
    <w:rsid w:val="00EF71F3"/>
    <w:rsid w:val="00EF7BEF"/>
    <w:rsid w:val="00F00E2C"/>
    <w:rsid w:val="00F0148D"/>
    <w:rsid w:val="00F02F79"/>
    <w:rsid w:val="00F0647D"/>
    <w:rsid w:val="00F06AA8"/>
    <w:rsid w:val="00F12D4F"/>
    <w:rsid w:val="00F133A9"/>
    <w:rsid w:val="00F15E1F"/>
    <w:rsid w:val="00F17A7D"/>
    <w:rsid w:val="00F17BE5"/>
    <w:rsid w:val="00F21355"/>
    <w:rsid w:val="00F225B7"/>
    <w:rsid w:val="00F234E3"/>
    <w:rsid w:val="00F23EBC"/>
    <w:rsid w:val="00F24844"/>
    <w:rsid w:val="00F24CC5"/>
    <w:rsid w:val="00F269CF"/>
    <w:rsid w:val="00F305D2"/>
    <w:rsid w:val="00F337E2"/>
    <w:rsid w:val="00F33B2F"/>
    <w:rsid w:val="00F35567"/>
    <w:rsid w:val="00F4050D"/>
    <w:rsid w:val="00F4228A"/>
    <w:rsid w:val="00F4587C"/>
    <w:rsid w:val="00F45A1B"/>
    <w:rsid w:val="00F45DAD"/>
    <w:rsid w:val="00F5019E"/>
    <w:rsid w:val="00F52123"/>
    <w:rsid w:val="00F546C4"/>
    <w:rsid w:val="00F54994"/>
    <w:rsid w:val="00F57FF9"/>
    <w:rsid w:val="00F609F2"/>
    <w:rsid w:val="00F61D5D"/>
    <w:rsid w:val="00F62D27"/>
    <w:rsid w:val="00F64F79"/>
    <w:rsid w:val="00F651F2"/>
    <w:rsid w:val="00F66BF9"/>
    <w:rsid w:val="00F6713F"/>
    <w:rsid w:val="00F67557"/>
    <w:rsid w:val="00F73568"/>
    <w:rsid w:val="00F82BF4"/>
    <w:rsid w:val="00F9051D"/>
    <w:rsid w:val="00F9070C"/>
    <w:rsid w:val="00F91022"/>
    <w:rsid w:val="00F9277E"/>
    <w:rsid w:val="00F93B6A"/>
    <w:rsid w:val="00F943A2"/>
    <w:rsid w:val="00F95664"/>
    <w:rsid w:val="00F97B14"/>
    <w:rsid w:val="00F97E14"/>
    <w:rsid w:val="00FA13AC"/>
    <w:rsid w:val="00FA2ABC"/>
    <w:rsid w:val="00FA381E"/>
    <w:rsid w:val="00FA4A31"/>
    <w:rsid w:val="00FA4A8A"/>
    <w:rsid w:val="00FA75B2"/>
    <w:rsid w:val="00FB1082"/>
    <w:rsid w:val="00FB4739"/>
    <w:rsid w:val="00FB64EB"/>
    <w:rsid w:val="00FB7F21"/>
    <w:rsid w:val="00FC00D8"/>
    <w:rsid w:val="00FC0312"/>
    <w:rsid w:val="00FC0901"/>
    <w:rsid w:val="00FC0F45"/>
    <w:rsid w:val="00FC52F1"/>
    <w:rsid w:val="00FC5488"/>
    <w:rsid w:val="00FC60A1"/>
    <w:rsid w:val="00FC616C"/>
    <w:rsid w:val="00FC6C10"/>
    <w:rsid w:val="00FC755E"/>
    <w:rsid w:val="00FC7FBA"/>
    <w:rsid w:val="00FD2DE8"/>
    <w:rsid w:val="00FD2E14"/>
    <w:rsid w:val="00FD64A6"/>
    <w:rsid w:val="00FD6B88"/>
    <w:rsid w:val="00FD7C9E"/>
    <w:rsid w:val="00FE0050"/>
    <w:rsid w:val="00FE1F52"/>
    <w:rsid w:val="00FE317C"/>
    <w:rsid w:val="00FE3AA7"/>
    <w:rsid w:val="00FE44FD"/>
    <w:rsid w:val="00FE6525"/>
    <w:rsid w:val="00FE6869"/>
    <w:rsid w:val="00FE6917"/>
    <w:rsid w:val="00FF0C3A"/>
    <w:rsid w:val="00FF2F90"/>
    <w:rsid w:val="00FF4E2F"/>
    <w:rsid w:val="00FF5986"/>
    <w:rsid w:val="00FF5E36"/>
    <w:rsid w:val="00FF72D8"/>
    <w:rsid w:val="027E5DB0"/>
    <w:rsid w:val="0317F2CC"/>
    <w:rsid w:val="070B7B47"/>
    <w:rsid w:val="088B3AFC"/>
    <w:rsid w:val="0B7BE21B"/>
    <w:rsid w:val="12852452"/>
    <w:rsid w:val="12A1298B"/>
    <w:rsid w:val="134113E6"/>
    <w:rsid w:val="1AA2663E"/>
    <w:rsid w:val="1D28534C"/>
    <w:rsid w:val="1EE6E67E"/>
    <w:rsid w:val="1EFE7CE2"/>
    <w:rsid w:val="1F4F2C6D"/>
    <w:rsid w:val="1FBB47A7"/>
    <w:rsid w:val="1FBDC402"/>
    <w:rsid w:val="20DC2288"/>
    <w:rsid w:val="22957F52"/>
    <w:rsid w:val="29975924"/>
    <w:rsid w:val="29E78A9E"/>
    <w:rsid w:val="2BFAEEB5"/>
    <w:rsid w:val="2C7A1FBB"/>
    <w:rsid w:val="2DF70CA2"/>
    <w:rsid w:val="2DF7FB46"/>
    <w:rsid w:val="2E7F2B6C"/>
    <w:rsid w:val="31FF5CD0"/>
    <w:rsid w:val="331D381A"/>
    <w:rsid w:val="33EF4AAE"/>
    <w:rsid w:val="348937EE"/>
    <w:rsid w:val="357F4961"/>
    <w:rsid w:val="35BFD8BD"/>
    <w:rsid w:val="36C717FD"/>
    <w:rsid w:val="36F71572"/>
    <w:rsid w:val="37D60D8D"/>
    <w:rsid w:val="37EBC52A"/>
    <w:rsid w:val="39EFDE43"/>
    <w:rsid w:val="3DD7F113"/>
    <w:rsid w:val="3DDDEA3B"/>
    <w:rsid w:val="3F3EBE09"/>
    <w:rsid w:val="3F4F0AA9"/>
    <w:rsid w:val="3FBDD0D3"/>
    <w:rsid w:val="3FDF1BB7"/>
    <w:rsid w:val="3FFB4479"/>
    <w:rsid w:val="3FFFDA89"/>
    <w:rsid w:val="45B10A0A"/>
    <w:rsid w:val="481075F4"/>
    <w:rsid w:val="4BDFC7BE"/>
    <w:rsid w:val="4DDB3648"/>
    <w:rsid w:val="4F8B9673"/>
    <w:rsid w:val="4F8D7752"/>
    <w:rsid w:val="4FB24C17"/>
    <w:rsid w:val="4FC39140"/>
    <w:rsid w:val="4FF3C7A0"/>
    <w:rsid w:val="517D3696"/>
    <w:rsid w:val="55DF1C8D"/>
    <w:rsid w:val="55F712FA"/>
    <w:rsid w:val="5795342B"/>
    <w:rsid w:val="585F0DB2"/>
    <w:rsid w:val="59EF5C12"/>
    <w:rsid w:val="5AFF236B"/>
    <w:rsid w:val="5B73FA42"/>
    <w:rsid w:val="5B9F03D6"/>
    <w:rsid w:val="5BAF7099"/>
    <w:rsid w:val="5D6EC76B"/>
    <w:rsid w:val="5DB76514"/>
    <w:rsid w:val="5F7E0F77"/>
    <w:rsid w:val="5FED199C"/>
    <w:rsid w:val="5FEF690D"/>
    <w:rsid w:val="5FFD27A9"/>
    <w:rsid w:val="60304166"/>
    <w:rsid w:val="61E7EF69"/>
    <w:rsid w:val="626265B6"/>
    <w:rsid w:val="62626A0B"/>
    <w:rsid w:val="627E8C33"/>
    <w:rsid w:val="673A15C3"/>
    <w:rsid w:val="67577DF4"/>
    <w:rsid w:val="6B7D62B8"/>
    <w:rsid w:val="6BA13CA0"/>
    <w:rsid w:val="6BFFC00B"/>
    <w:rsid w:val="6D8D3BB9"/>
    <w:rsid w:val="6DD7FBC9"/>
    <w:rsid w:val="6E71B56C"/>
    <w:rsid w:val="6EFA03E6"/>
    <w:rsid w:val="6FA17DD2"/>
    <w:rsid w:val="6FAD0C19"/>
    <w:rsid w:val="6FF4EC10"/>
    <w:rsid w:val="708E37EE"/>
    <w:rsid w:val="72DD11C6"/>
    <w:rsid w:val="73BE2B3E"/>
    <w:rsid w:val="73DE91FD"/>
    <w:rsid w:val="75BAB451"/>
    <w:rsid w:val="75DE4770"/>
    <w:rsid w:val="76FBE0AA"/>
    <w:rsid w:val="77756BA6"/>
    <w:rsid w:val="7797F7F5"/>
    <w:rsid w:val="77BA1A5E"/>
    <w:rsid w:val="77BBE3F7"/>
    <w:rsid w:val="77DF12BA"/>
    <w:rsid w:val="77F725B1"/>
    <w:rsid w:val="77FCC5D5"/>
    <w:rsid w:val="7A659582"/>
    <w:rsid w:val="7AFB714E"/>
    <w:rsid w:val="7AFDBBC0"/>
    <w:rsid w:val="7B2E3264"/>
    <w:rsid w:val="7B7B4B48"/>
    <w:rsid w:val="7BE75658"/>
    <w:rsid w:val="7C144A92"/>
    <w:rsid w:val="7C3DF8D4"/>
    <w:rsid w:val="7D7F5583"/>
    <w:rsid w:val="7DCFBC58"/>
    <w:rsid w:val="7DDFC94C"/>
    <w:rsid w:val="7DE0B035"/>
    <w:rsid w:val="7DF5C5FC"/>
    <w:rsid w:val="7EB7D5BA"/>
    <w:rsid w:val="7EDBD4E3"/>
    <w:rsid w:val="7F5E1114"/>
    <w:rsid w:val="7F5EB68F"/>
    <w:rsid w:val="7F7EE7BD"/>
    <w:rsid w:val="7FFA98CD"/>
    <w:rsid w:val="7FFF6D08"/>
    <w:rsid w:val="7FFFB155"/>
    <w:rsid w:val="7FFFFC28"/>
    <w:rsid w:val="873FBB71"/>
    <w:rsid w:val="8E5FFBA0"/>
    <w:rsid w:val="9F3E0028"/>
    <w:rsid w:val="A7D6B7CF"/>
    <w:rsid w:val="ABF7DBD9"/>
    <w:rsid w:val="AFC78E0D"/>
    <w:rsid w:val="AFFF5E42"/>
    <w:rsid w:val="B7BBC271"/>
    <w:rsid w:val="B7FAADAB"/>
    <w:rsid w:val="B8CE56DB"/>
    <w:rsid w:val="BA9F8FE7"/>
    <w:rsid w:val="BD9F4431"/>
    <w:rsid w:val="BDEBAAE9"/>
    <w:rsid w:val="BEED8831"/>
    <w:rsid w:val="BFBF078B"/>
    <w:rsid w:val="BFEE677C"/>
    <w:rsid w:val="BFEF0D1E"/>
    <w:rsid w:val="C6BFF4EB"/>
    <w:rsid w:val="CBC92A1F"/>
    <w:rsid w:val="CFF49A66"/>
    <w:rsid w:val="D33E24AC"/>
    <w:rsid w:val="D7AF3B93"/>
    <w:rsid w:val="DBFDB6CA"/>
    <w:rsid w:val="DC7CDF22"/>
    <w:rsid w:val="DC7F3319"/>
    <w:rsid w:val="DCF3C835"/>
    <w:rsid w:val="DCFB4234"/>
    <w:rsid w:val="DE73F6FE"/>
    <w:rsid w:val="DFBF5A70"/>
    <w:rsid w:val="DFF532DF"/>
    <w:rsid w:val="DFFBB5F8"/>
    <w:rsid w:val="DFFD7FF9"/>
    <w:rsid w:val="E0D6D2D8"/>
    <w:rsid w:val="E76BC4B9"/>
    <w:rsid w:val="E7BE791D"/>
    <w:rsid w:val="E7F2271D"/>
    <w:rsid w:val="E7FF1371"/>
    <w:rsid w:val="E7FFE7EE"/>
    <w:rsid w:val="E83D1F6C"/>
    <w:rsid w:val="E89F043D"/>
    <w:rsid w:val="EAEFDC24"/>
    <w:rsid w:val="EB6FA1D7"/>
    <w:rsid w:val="EBEF399D"/>
    <w:rsid w:val="EBFBE88E"/>
    <w:rsid w:val="EF5BE979"/>
    <w:rsid w:val="EF61B312"/>
    <w:rsid w:val="EF6F3F0E"/>
    <w:rsid w:val="EFFF0270"/>
    <w:rsid w:val="F2DB6D7E"/>
    <w:rsid w:val="F3CF8B5B"/>
    <w:rsid w:val="F57B919D"/>
    <w:rsid w:val="F5EF0257"/>
    <w:rsid w:val="F69FE8AE"/>
    <w:rsid w:val="F6FE6C21"/>
    <w:rsid w:val="F7DD5F4C"/>
    <w:rsid w:val="F7DDE05A"/>
    <w:rsid w:val="F7F1CA62"/>
    <w:rsid w:val="F7FF141D"/>
    <w:rsid w:val="F83ECFC9"/>
    <w:rsid w:val="F8DD52B5"/>
    <w:rsid w:val="FAFB8544"/>
    <w:rsid w:val="FAFFF3EB"/>
    <w:rsid w:val="FB2C095F"/>
    <w:rsid w:val="FBEF874F"/>
    <w:rsid w:val="FBFA5A60"/>
    <w:rsid w:val="FC7D1B4B"/>
    <w:rsid w:val="FC9D654E"/>
    <w:rsid w:val="FCBF0FA3"/>
    <w:rsid w:val="FDED529C"/>
    <w:rsid w:val="FDEEE2EE"/>
    <w:rsid w:val="FDFB5941"/>
    <w:rsid w:val="FE9D5F90"/>
    <w:rsid w:val="FEDF9627"/>
    <w:rsid w:val="FF1FD88F"/>
    <w:rsid w:val="FF2F8151"/>
    <w:rsid w:val="FF5CAD73"/>
    <w:rsid w:val="FF5FF903"/>
    <w:rsid w:val="FF6F1E0A"/>
    <w:rsid w:val="FFAD7B9B"/>
    <w:rsid w:val="FFB58FBF"/>
    <w:rsid w:val="FFBF75F5"/>
    <w:rsid w:val="FFBFC412"/>
    <w:rsid w:val="FFDF1739"/>
    <w:rsid w:val="FFDFB7AC"/>
    <w:rsid w:val="FFDFEE51"/>
    <w:rsid w:val="FFED6356"/>
    <w:rsid w:val="FFF9B28A"/>
    <w:rsid w:val="FFFBECAE"/>
    <w:rsid w:val="FFFF6D43"/>
    <w:rsid w:val="FFFFB6B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2">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Times New Roman" w:hAnsi="Times New Roman" w:cs="Times New Roman"/>
      <w:szCs w:val="24"/>
    </w:rPr>
  </w:style>
  <w:style w:type="paragraph" w:styleId="5">
    <w:name w:val="caption"/>
    <w:basedOn w:val="1"/>
    <w:next w:val="1"/>
    <w:qFormat/>
    <w:uiPriority w:val="35"/>
    <w:pPr>
      <w:spacing w:line="360" w:lineRule="auto"/>
      <w:jc w:val="center"/>
    </w:pPr>
    <w:rPr>
      <w:b/>
      <w:szCs w:val="20"/>
    </w:rPr>
  </w:style>
  <w:style w:type="paragraph" w:styleId="6">
    <w:name w:val="Document Map"/>
    <w:basedOn w:val="1"/>
    <w:link w:val="31"/>
    <w:unhideWhenUsed/>
    <w:qFormat/>
    <w:uiPriority w:val="99"/>
    <w:rPr>
      <w:rFonts w:ascii="宋体"/>
      <w:sz w:val="18"/>
      <w:szCs w:val="18"/>
    </w:rPr>
  </w:style>
  <w:style w:type="paragraph" w:styleId="7">
    <w:name w:val="annotation text"/>
    <w:basedOn w:val="1"/>
    <w:link w:val="32"/>
    <w:unhideWhenUsed/>
    <w:qFormat/>
    <w:uiPriority w:val="99"/>
    <w:pPr>
      <w:jc w:val="left"/>
    </w:pPr>
  </w:style>
  <w:style w:type="paragraph" w:styleId="8">
    <w:name w:val="Body Text Indent"/>
    <w:basedOn w:val="1"/>
    <w:qFormat/>
    <w:uiPriority w:val="0"/>
    <w:pPr>
      <w:adjustRightInd w:val="0"/>
      <w:spacing w:line="360" w:lineRule="auto"/>
      <w:ind w:firstLine="600"/>
      <w:jc w:val="left"/>
      <w:textAlignment w:val="baseline"/>
    </w:pPr>
    <w:rPr>
      <w:rFonts w:ascii="宋体" w:hAnsi="Calibri" w:eastAsia="宋体" w:cs="Times New Roman"/>
      <w:sz w:val="28"/>
      <w:szCs w:val="22"/>
    </w:rPr>
  </w:style>
  <w:style w:type="paragraph" w:styleId="9">
    <w:name w:val="Date"/>
    <w:basedOn w:val="1"/>
    <w:next w:val="1"/>
    <w:link w:val="33"/>
    <w:unhideWhenUsed/>
    <w:qFormat/>
    <w:uiPriority w:val="99"/>
    <w:pPr>
      <w:ind w:left="100" w:leftChars="2500"/>
    </w:pPr>
  </w:style>
  <w:style w:type="paragraph" w:styleId="10">
    <w:name w:val="endnote text"/>
    <w:basedOn w:val="1"/>
    <w:link w:val="34"/>
    <w:unhideWhenUsed/>
    <w:qFormat/>
    <w:uiPriority w:val="99"/>
    <w:pPr>
      <w:snapToGrid w:val="0"/>
      <w:jc w:val="left"/>
    </w:pPr>
  </w:style>
  <w:style w:type="paragraph" w:styleId="11">
    <w:name w:val="Balloon Text"/>
    <w:basedOn w:val="1"/>
    <w:link w:val="35"/>
    <w:unhideWhenUsed/>
    <w:qFormat/>
    <w:uiPriority w:val="99"/>
    <w:rPr>
      <w:kern w:val="0"/>
      <w:sz w:val="18"/>
      <w:szCs w:val="18"/>
    </w:rPr>
  </w:style>
  <w:style w:type="paragraph" w:styleId="12">
    <w:name w:val="footer"/>
    <w:basedOn w:val="1"/>
    <w:link w:val="36"/>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37"/>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qFormat/>
    <w:uiPriority w:val="39"/>
    <w:pPr>
      <w:tabs>
        <w:tab w:val="right" w:leader="dot" w:pos="8296"/>
      </w:tabs>
      <w:jc w:val="center"/>
    </w:pPr>
    <w:rPr>
      <w:b/>
      <w:sz w:val="32"/>
      <w:szCs w:val="32"/>
    </w:rPr>
  </w:style>
  <w:style w:type="paragraph" w:styleId="15">
    <w:name w:val="footnote text"/>
    <w:basedOn w:val="1"/>
    <w:link w:val="38"/>
    <w:semiHidden/>
    <w:qFormat/>
    <w:uiPriority w:val="0"/>
    <w:pPr>
      <w:snapToGrid w:val="0"/>
      <w:jc w:val="left"/>
    </w:pPr>
    <w:rPr>
      <w:kern w:val="0"/>
      <w:sz w:val="18"/>
      <w:szCs w:val="18"/>
    </w:rPr>
  </w:style>
  <w:style w:type="paragraph" w:styleId="16">
    <w:name w:val="HTML Preformatted"/>
    <w:basedOn w:val="1"/>
    <w:link w:val="3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link w:val="40"/>
    <w:qFormat/>
    <w:uiPriority w:val="10"/>
    <w:pPr>
      <w:spacing w:before="240" w:after="60"/>
      <w:jc w:val="center"/>
      <w:outlineLvl w:val="0"/>
    </w:pPr>
    <w:rPr>
      <w:rFonts w:ascii="Cambria" w:hAnsi="Cambria"/>
      <w:b/>
      <w:bCs/>
      <w:sz w:val="32"/>
      <w:szCs w:val="32"/>
    </w:rPr>
  </w:style>
  <w:style w:type="paragraph" w:styleId="19">
    <w:name w:val="annotation subject"/>
    <w:basedOn w:val="7"/>
    <w:next w:val="7"/>
    <w:link w:val="41"/>
    <w:unhideWhenUsed/>
    <w:qFormat/>
    <w:uiPriority w:val="99"/>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22"/>
    <w:rPr>
      <w:b/>
      <w:bCs/>
    </w:rPr>
  </w:style>
  <w:style w:type="character" w:styleId="24">
    <w:name w:val="endnote reference"/>
    <w:unhideWhenUsed/>
    <w:qFormat/>
    <w:uiPriority w:val="99"/>
    <w:rPr>
      <w:vertAlign w:val="superscript"/>
    </w:rPr>
  </w:style>
  <w:style w:type="character" w:styleId="25">
    <w:name w:val="Emphasis"/>
    <w:qFormat/>
    <w:uiPriority w:val="20"/>
    <w:rPr>
      <w:i/>
      <w:iCs/>
    </w:rPr>
  </w:style>
  <w:style w:type="character" w:styleId="26">
    <w:name w:val="Hyperlink"/>
    <w:qFormat/>
    <w:uiPriority w:val="99"/>
    <w:rPr>
      <w:color w:val="0000FF"/>
      <w:u w:val="single"/>
    </w:rPr>
  </w:style>
  <w:style w:type="character" w:styleId="27">
    <w:name w:val="annotation reference"/>
    <w:unhideWhenUsed/>
    <w:qFormat/>
    <w:uiPriority w:val="99"/>
    <w:rPr>
      <w:sz w:val="21"/>
      <w:szCs w:val="21"/>
    </w:rPr>
  </w:style>
  <w:style w:type="character" w:styleId="28">
    <w:name w:val="footnote reference"/>
    <w:semiHidden/>
    <w:qFormat/>
    <w:uiPriority w:val="0"/>
    <w:rPr>
      <w:vertAlign w:val="superscript"/>
    </w:rPr>
  </w:style>
  <w:style w:type="character" w:customStyle="1" w:styleId="29">
    <w:name w:val="标题 1 Char"/>
    <w:link w:val="2"/>
    <w:qFormat/>
    <w:uiPriority w:val="0"/>
    <w:rPr>
      <w:rFonts w:ascii="Times New Roman" w:hAnsi="Times New Roman" w:eastAsia="宋体" w:cs="Times New Roman"/>
      <w:b/>
      <w:bCs/>
      <w:kern w:val="44"/>
      <w:sz w:val="44"/>
      <w:szCs w:val="44"/>
    </w:rPr>
  </w:style>
  <w:style w:type="character" w:customStyle="1" w:styleId="30">
    <w:name w:val="标题 2 Char"/>
    <w:link w:val="3"/>
    <w:qFormat/>
    <w:uiPriority w:val="0"/>
    <w:rPr>
      <w:rFonts w:ascii="Arial" w:hAnsi="Arial" w:eastAsia="黑体"/>
      <w:b/>
      <w:sz w:val="32"/>
    </w:rPr>
  </w:style>
  <w:style w:type="character" w:customStyle="1" w:styleId="31">
    <w:name w:val="文档结构图 Char"/>
    <w:link w:val="6"/>
    <w:semiHidden/>
    <w:qFormat/>
    <w:uiPriority w:val="99"/>
    <w:rPr>
      <w:rFonts w:ascii="宋体" w:hAnsi="Times New Roman"/>
      <w:kern w:val="2"/>
      <w:sz w:val="18"/>
      <w:szCs w:val="18"/>
    </w:rPr>
  </w:style>
  <w:style w:type="character" w:customStyle="1" w:styleId="32">
    <w:name w:val="批注文字 Char"/>
    <w:link w:val="7"/>
    <w:semiHidden/>
    <w:qFormat/>
    <w:uiPriority w:val="99"/>
    <w:rPr>
      <w:rFonts w:ascii="Times New Roman" w:hAnsi="Times New Roman"/>
      <w:kern w:val="2"/>
      <w:sz w:val="21"/>
      <w:szCs w:val="24"/>
    </w:rPr>
  </w:style>
  <w:style w:type="character" w:customStyle="1" w:styleId="33">
    <w:name w:val="日期 Char"/>
    <w:link w:val="9"/>
    <w:semiHidden/>
    <w:qFormat/>
    <w:uiPriority w:val="99"/>
    <w:rPr>
      <w:rFonts w:ascii="Times New Roman" w:hAnsi="Times New Roman"/>
      <w:kern w:val="2"/>
      <w:sz w:val="21"/>
      <w:szCs w:val="24"/>
    </w:rPr>
  </w:style>
  <w:style w:type="character" w:customStyle="1" w:styleId="34">
    <w:name w:val="尾注文本 Char"/>
    <w:link w:val="10"/>
    <w:semiHidden/>
    <w:qFormat/>
    <w:uiPriority w:val="99"/>
    <w:rPr>
      <w:rFonts w:ascii="Times New Roman" w:hAnsi="Times New Roman"/>
      <w:kern w:val="2"/>
      <w:sz w:val="21"/>
      <w:szCs w:val="24"/>
    </w:rPr>
  </w:style>
  <w:style w:type="character" w:customStyle="1" w:styleId="35">
    <w:name w:val="批注框文本 Char"/>
    <w:link w:val="11"/>
    <w:semiHidden/>
    <w:qFormat/>
    <w:uiPriority w:val="99"/>
    <w:rPr>
      <w:rFonts w:ascii="Times New Roman" w:hAnsi="Times New Roman" w:eastAsia="宋体" w:cs="Times New Roman"/>
      <w:sz w:val="18"/>
      <w:szCs w:val="18"/>
    </w:rPr>
  </w:style>
  <w:style w:type="character" w:customStyle="1" w:styleId="36">
    <w:name w:val="页脚 Char"/>
    <w:link w:val="12"/>
    <w:qFormat/>
    <w:uiPriority w:val="99"/>
    <w:rPr>
      <w:sz w:val="18"/>
      <w:szCs w:val="18"/>
    </w:rPr>
  </w:style>
  <w:style w:type="character" w:customStyle="1" w:styleId="37">
    <w:name w:val="页眉 Char"/>
    <w:link w:val="13"/>
    <w:qFormat/>
    <w:uiPriority w:val="99"/>
    <w:rPr>
      <w:sz w:val="18"/>
      <w:szCs w:val="18"/>
    </w:rPr>
  </w:style>
  <w:style w:type="character" w:customStyle="1" w:styleId="38">
    <w:name w:val="脚注文本 Char"/>
    <w:link w:val="15"/>
    <w:semiHidden/>
    <w:qFormat/>
    <w:uiPriority w:val="0"/>
    <w:rPr>
      <w:rFonts w:ascii="Times New Roman" w:hAnsi="Times New Roman" w:eastAsia="宋体" w:cs="Times New Roman"/>
      <w:sz w:val="18"/>
      <w:szCs w:val="18"/>
    </w:rPr>
  </w:style>
  <w:style w:type="character" w:customStyle="1" w:styleId="39">
    <w:name w:val="HTML 预设格式 Char"/>
    <w:link w:val="16"/>
    <w:qFormat/>
    <w:uiPriority w:val="0"/>
    <w:rPr>
      <w:rFonts w:ascii="宋体" w:hAnsi="宋体" w:eastAsia="宋体" w:cs="宋体"/>
      <w:sz w:val="24"/>
      <w:szCs w:val="24"/>
    </w:rPr>
  </w:style>
  <w:style w:type="character" w:customStyle="1" w:styleId="40">
    <w:name w:val="标题 Char"/>
    <w:link w:val="18"/>
    <w:qFormat/>
    <w:uiPriority w:val="10"/>
    <w:rPr>
      <w:rFonts w:ascii="Cambria" w:hAnsi="Cambria" w:cs="Times New Roman"/>
      <w:b/>
      <w:bCs/>
      <w:kern w:val="2"/>
      <w:sz w:val="32"/>
      <w:szCs w:val="32"/>
    </w:rPr>
  </w:style>
  <w:style w:type="character" w:customStyle="1" w:styleId="41">
    <w:name w:val="批注主题 Char"/>
    <w:link w:val="19"/>
    <w:semiHidden/>
    <w:qFormat/>
    <w:uiPriority w:val="99"/>
    <w:rPr>
      <w:rFonts w:ascii="Times New Roman" w:hAnsi="Times New Roman"/>
      <w:b/>
      <w:bCs/>
      <w:kern w:val="2"/>
      <w:sz w:val="21"/>
      <w:szCs w:val="24"/>
    </w:rPr>
  </w:style>
  <w:style w:type="character" w:customStyle="1" w:styleId="42">
    <w:name w:val="s1"/>
    <w:qFormat/>
    <w:uiPriority w:val="0"/>
  </w:style>
  <w:style w:type="character" w:customStyle="1" w:styleId="43">
    <w:name w:val="HTML 预设格式 Char1"/>
    <w:semiHidden/>
    <w:qFormat/>
    <w:uiPriority w:val="99"/>
    <w:rPr>
      <w:rFonts w:ascii="Courier New" w:hAnsi="Courier New" w:eastAsia="宋体" w:cs="Courier New"/>
      <w:sz w:val="20"/>
      <w:szCs w:val="20"/>
    </w:rPr>
  </w:style>
  <w:style w:type="character" w:customStyle="1" w:styleId="44">
    <w:name w:val="页脚 Char1"/>
    <w:semiHidden/>
    <w:qFormat/>
    <w:uiPriority w:val="99"/>
    <w:rPr>
      <w:rFonts w:ascii="Times New Roman" w:hAnsi="Times New Roman" w:eastAsia="宋体" w:cs="Times New Roman"/>
      <w:sz w:val="18"/>
      <w:szCs w:val="18"/>
    </w:rPr>
  </w:style>
  <w:style w:type="character" w:customStyle="1" w:styleId="45">
    <w:name w:val="页眉 Char1"/>
    <w:semiHidden/>
    <w:qFormat/>
    <w:uiPriority w:val="99"/>
    <w:rPr>
      <w:rFonts w:ascii="Times New Roman" w:hAnsi="Times New Roman" w:eastAsia="宋体" w:cs="Times New Roman"/>
      <w:sz w:val="18"/>
      <w:szCs w:val="18"/>
    </w:rPr>
  </w:style>
  <w:style w:type="paragraph" w:customStyle="1" w:styleId="46">
    <w:name w:val="_Style 45"/>
    <w:semiHidden/>
    <w:qFormat/>
    <w:uiPriority w:val="99"/>
    <w:rPr>
      <w:rFonts w:ascii="Times New Roman" w:hAnsi="Times New Roman" w:eastAsia="宋体" w:cs="Times New Roman"/>
      <w:kern w:val="2"/>
      <w:sz w:val="21"/>
      <w:szCs w:val="24"/>
      <w:lang w:val="en-US" w:eastAsia="zh-CN" w:bidi="ar-SA"/>
    </w:rPr>
  </w:style>
  <w:style w:type="paragraph" w:customStyle="1" w:styleId="47">
    <w:name w:val="_Style 46"/>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48">
    <w:name w:val="List Paragraph"/>
    <w:basedOn w:val="1"/>
    <w:qFormat/>
    <w:uiPriority w:val="34"/>
    <w:pPr>
      <w:ind w:firstLine="420" w:firstLineChars="200"/>
    </w:pPr>
    <w:rPr>
      <w:rFonts w:ascii="Calibri" w:hAnsi="Calibri"/>
      <w:szCs w:val="22"/>
    </w:rPr>
  </w:style>
  <w:style w:type="table" w:customStyle="1" w:styleId="49">
    <w:name w:val="样式6"/>
    <w:basedOn w:val="20"/>
    <w:qFormat/>
    <w:uiPriority w:val="99"/>
    <w:rPr>
      <w:rFonts w:ascii="Calibri" w:hAnsi="Calibri" w:eastAsia="宋体" w:cs="Times New Roman"/>
      <w:kern w:val="0"/>
      <w:sz w:val="20"/>
      <w:szCs w:val="20"/>
    </w:rPr>
    <w:tblPr>
      <w:tblBorders>
        <w:top w:val="single" w:color="000000" w:sz="12" w:space="0"/>
        <w:bottom w:val="single" w:color="000000" w:sz="12" w:space="0"/>
      </w:tblBorders>
    </w:tblPr>
    <w:tblStylePr w:type="firstRow">
      <w:tcPr>
        <w:tcBorders>
          <w:top w:val="single" w:color="000000" w:sz="12" w:space="0"/>
          <w:left w:val="single" w:color="000000" w:sz="6" w:space="0"/>
          <w:bottom w:val="nil"/>
          <w:right w:val="nil"/>
          <w:insideH w:val="nil"/>
          <w:insideV w:val="nil"/>
          <w:tl2br w:val="nil"/>
          <w:tr2bl w:val="nil"/>
        </w:tcBorders>
      </w:tcPr>
    </w:tblStylePr>
  </w:style>
  <w:style w:type="table" w:customStyle="1" w:styleId="50">
    <w:name w:val="样式2"/>
    <w:basedOn w:val="20"/>
    <w:qFormat/>
    <w:uiPriority w:val="99"/>
    <w:rPr>
      <w:rFonts w:ascii="Calibri" w:hAnsi="Calibri" w:eastAsia="宋体" w:cs="Times New Roman"/>
      <w:kern w:val="0"/>
      <w:sz w:val="20"/>
      <w:szCs w:val="20"/>
    </w:rPr>
    <w:tblPr>
      <w:tblBorders>
        <w:insideH w:val="single" w:color="auto" w:sz="8" w:space="0"/>
        <w:insideV w:val="single" w:color="auto" w:sz="8" w:space="0"/>
      </w:tblBorders>
    </w:tblPr>
  </w:style>
  <w:style w:type="table" w:customStyle="1" w:styleId="51">
    <w:name w:val="三线表"/>
    <w:basedOn w:val="20"/>
    <w:qFormat/>
    <w:uiPriority w:val="99"/>
    <w:rPr>
      <w:rFonts w:ascii="Calibri" w:hAnsi="Calibri" w:eastAsia="宋体" w:cs="Times New Roman"/>
      <w:kern w:val="0"/>
      <w:sz w:val="20"/>
      <w:szCs w:val="20"/>
    </w:rPr>
    <w:tblPr>
      <w:tblBorders>
        <w:top w:val="single" w:color="auto" w:sz="12" w:space="0"/>
        <w:bottom w:val="single" w:color="auto" w:sz="12" w:space="0"/>
      </w:tblBorders>
    </w:tblPr>
    <w:tblStylePr w:type="firstRow">
      <w:tcPr>
        <w:tcBorders>
          <w:top w:val="nil"/>
          <w:left w:val="single" w:color="auto" w:sz="8" w:space="0"/>
          <w:bottom w:val="nil"/>
          <w:right w:val="nil"/>
          <w:insideH w:val="nil"/>
          <w:insideV w:val="nil"/>
          <w:tl2br w:val="nil"/>
          <w:tr2bl w:val="nil"/>
        </w:tcBorders>
      </w:tcPr>
    </w:tblStylePr>
  </w:style>
  <w:style w:type="paragraph" w:customStyle="1" w:styleId="5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53">
    <w:name w:val="font01"/>
    <w:qFormat/>
    <w:uiPriority w:val="0"/>
    <w:rPr>
      <w:rFonts w:hint="eastAsia" w:ascii="宋体" w:hAnsi="宋体" w:eastAsia="宋体" w:cs="宋体"/>
      <w:color w:val="000000"/>
      <w:sz w:val="22"/>
      <w:szCs w:val="22"/>
      <w:u w:val="none"/>
    </w:rPr>
  </w:style>
  <w:style w:type="character" w:customStyle="1" w:styleId="54">
    <w:name w:val="font21"/>
    <w:qFormat/>
    <w:uiPriority w:val="0"/>
    <w:rPr>
      <w:rFonts w:hint="default" w:ascii="Times New Roman" w:hAnsi="Times New Roman" w:cs="Times New Roman"/>
      <w:color w:val="000000"/>
      <w:sz w:val="22"/>
      <w:szCs w:val="22"/>
      <w:u w:val="none"/>
    </w:rPr>
  </w:style>
  <w:style w:type="character" w:customStyle="1" w:styleId="55">
    <w:name w:val="17"/>
    <w:basedOn w:val="22"/>
    <w:qFormat/>
    <w:uiPriority w:val="0"/>
    <w:rPr>
      <w:rFonts w:hint="eastAsia" w:ascii="宋体" w:hAnsi="宋体" w:eastAsia="宋体"/>
      <w:color w:val="000000"/>
      <w:sz w:val="22"/>
      <w:szCs w:val="22"/>
    </w:rPr>
  </w:style>
  <w:style w:type="character" w:customStyle="1" w:styleId="56">
    <w:name w:val="16"/>
    <w:basedOn w:val="22"/>
    <w:qFormat/>
    <w:uiPriority w:val="0"/>
    <w:rPr>
      <w:rFonts w:hint="eastAsia" w:ascii="宋体" w:hAnsi="宋体" w:eastAsia="宋体"/>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1648</Words>
  <Characters>9397</Characters>
  <Lines>78</Lines>
  <Paragraphs>22</Paragraphs>
  <TotalTime>13</TotalTime>
  <ScaleCrop>false</ScaleCrop>
  <LinksUpToDate>false</LinksUpToDate>
  <CharactersWithSpaces>11023</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2021-04-14T07:50:00Z</dcterms:created>
  <dc:creator>deeplm</dc:creator>
  <cp:lastModifiedBy>user</cp:lastModifiedBy>
  <cp:lastPrinted>2023-02-18T08:26:00Z</cp:lastPrinted>
  <dcterms:modified xsi:type="dcterms:W3CDTF">2023-05-09T15:08:39Z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5FF5D71EF5DB4A588C00E709C7D9DCD3</vt:lpwstr>
  </property>
</Properties>
</file>